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20" w:after="160"/>
        <w:jc w:val="center"/>
      </w:pPr>
      <w:r>
        <w:rPr>
          <w:rFonts w:ascii="Calibri" w:hAnsi="Calibri"/>
          <w:b/>
          <w:color w:val="1F4E5F"/>
          <w:sz w:val="60"/>
        </w:rPr>
        <w:t>Deggal</w:t>
      </w:r>
    </w:p>
    <w:p>
      <w:pPr>
        <w:spacing w:after="320"/>
        <w:jc w:val="center"/>
      </w:pPr>
      <w:r>
        <w:rPr>
          <w:rFonts w:ascii="Calibri" w:hAnsi="Calibri"/>
          <w:b/>
          <w:color w:val="1F2933"/>
          <w:sz w:val="30"/>
        </w:rPr>
        <w:t>Business plan de financement du pilote 30 jours</w:t>
      </w:r>
    </w:p>
    <w:tbl>
      <w:tblPr>
        <w:tblW w:type="auto" w:w="0"/>
        <w:jc w:val="center"/>
        <w:tblLayout w:type="fixed"/>
        <w:tblLook w:firstColumn="1" w:firstRow="1" w:lastColumn="0" w:lastRow="0" w:noHBand="0" w:noVBand="1" w:val="04A0"/>
      </w:tblPr>
      <w:tblGrid>
        <w:gridCol w:w="9792"/>
      </w:tblGrid>
      <w:tr>
        <w:tc>
          <w:tcPr>
            <w:tcW w:type="dxa" w:w="9432"/>
            <w:shd w:fill="E6F4F1"/>
            <w:tcMar>
              <w:top w:w="120" w:type="dxa"/>
              <w:start w:w="160" w:type="dxa"/>
              <w:bottom w:w="120" w:type="dxa"/>
              <w:end w:w="160" w:type="dxa"/>
            </w:tcMar>
          </w:tcPr>
          <w:p>
            <w:pPr>
              <w:spacing w:after="40"/>
            </w:pPr>
            <w:r>
              <w:rPr>
                <w:rFonts w:ascii="Calibri" w:hAnsi="Calibri"/>
                <w:b/>
                <w:color w:val="1F4E5F"/>
                <w:sz w:val="21"/>
              </w:rPr>
              <w:t>Demande principale</w:t>
            </w:r>
          </w:p>
          <w:p>
            <w:pPr>
              <w:spacing w:after="0" w:line="276" w:lineRule="auto"/>
            </w:pPr>
            <w:r>
              <w:rPr>
                <w:rFonts w:ascii="Calibri" w:hAnsi="Calibri"/>
                <w:color w:val="1F2933"/>
                <w:sz w:val="20"/>
              </w:rPr>
              <w:t>2 500 000 FCFA pour financer un pilote terrain de 30 jours a Dakar: 3 agents terrain, 1 responsable terrain/back-office, collecte de preuves, QR/passeports marchands, rencontres partenaires et rapport de traction.</w:t>
            </w:r>
          </w:p>
        </w:tc>
      </w:tr>
    </w:tbl>
    <w:p/>
    <w:tbl>
      <w:tblPr>
        <w:tblStyle w:val="TableGrid"/>
        <w:tblW w:type="auto" w:w="0"/>
        <w:jc w:val="center"/>
        <w:tblLayout w:type="fixed"/>
        <w:tblLook w:firstColumn="1" w:firstRow="1" w:lastColumn="0" w:lastRow="0" w:noHBand="0" w:noVBand="1" w:val="04A0"/>
      </w:tblPr>
      <w:tblGrid>
        <w:gridCol w:w="4896"/>
        <w:gridCol w:w="4896"/>
      </w:tblGrid>
      <w:tr>
        <w:tc>
          <w:tcPr>
            <w:tcW w:type="dxa" w:w="2448"/>
            <w:tcMar>
              <w:top w:w="80" w:type="dxa"/>
              <w:start w:w="120" w:type="dxa"/>
              <w:bottom w:w="80" w:type="dxa"/>
              <w:end w:w="120" w:type="dxa"/>
            </w:tcMar>
            <w:vAlign w:val="center"/>
            <w:shd w:fill="F4F6F9"/>
          </w:tcPr>
          <w:p>
            <w:r>
              <w:rPr>
                <w:rFonts w:ascii="Calibri" w:hAnsi="Calibri"/>
                <w:b/>
                <w:color w:val="1F4E5F"/>
                <w:sz w:val="19"/>
              </w:rPr>
              <w:t>Porteur du projet</w:t>
            </w:r>
          </w:p>
        </w:tc>
        <w:tc>
          <w:tcPr>
            <w:tcW w:type="dxa" w:w="6984"/>
            <w:tcMar>
              <w:top w:w="80" w:type="dxa"/>
              <w:start w:w="120" w:type="dxa"/>
              <w:bottom w:w="80" w:type="dxa"/>
              <w:end w:w="120" w:type="dxa"/>
            </w:tcMar>
            <w:vAlign w:val="center"/>
          </w:tcPr>
          <w:p>
            <w:r>
              <w:rPr>
                <w:rFonts w:ascii="Calibri" w:hAnsi="Calibri"/>
                <w:sz w:val="19"/>
              </w:rPr>
              <w:t>A completer</w:t>
            </w:r>
          </w:p>
        </w:tc>
      </w:tr>
      <w:tr>
        <w:tc>
          <w:tcPr>
            <w:tcW w:type="dxa" w:w="2448"/>
            <w:tcMar>
              <w:top w:w="80" w:type="dxa"/>
              <w:start w:w="120" w:type="dxa"/>
              <w:bottom w:w="80" w:type="dxa"/>
              <w:end w:w="120" w:type="dxa"/>
            </w:tcMar>
            <w:vAlign w:val="center"/>
            <w:shd w:fill="F4F6F9"/>
          </w:tcPr>
          <w:p>
            <w:r>
              <w:rPr>
                <w:rFonts w:ascii="Calibri" w:hAnsi="Calibri"/>
                <w:b/>
                <w:color w:val="1F4E5F"/>
                <w:sz w:val="19"/>
              </w:rPr>
              <w:t>Zone pilote</w:t>
            </w:r>
          </w:p>
        </w:tc>
        <w:tc>
          <w:tcPr>
            <w:tcW w:type="dxa" w:w="6984"/>
            <w:tcMar>
              <w:top w:w="80" w:type="dxa"/>
              <w:start w:w="120" w:type="dxa"/>
              <w:bottom w:w="80" w:type="dxa"/>
              <w:end w:w="120" w:type="dxa"/>
            </w:tcMar>
            <w:vAlign w:val="center"/>
          </w:tcPr>
          <w:p>
            <w:r>
              <w:rPr>
                <w:rFonts w:ascii="Calibri" w:hAnsi="Calibri"/>
                <w:sz w:val="19"/>
              </w:rPr>
              <w:t>Dakar, Senegal</w:t>
            </w:r>
          </w:p>
        </w:tc>
      </w:tr>
      <w:tr>
        <w:tc>
          <w:tcPr>
            <w:tcW w:type="dxa" w:w="2448"/>
            <w:tcMar>
              <w:top w:w="80" w:type="dxa"/>
              <w:start w:w="120" w:type="dxa"/>
              <w:bottom w:w="80" w:type="dxa"/>
              <w:end w:w="120" w:type="dxa"/>
            </w:tcMar>
            <w:vAlign w:val="center"/>
            <w:shd w:fill="F4F6F9"/>
          </w:tcPr>
          <w:p>
            <w:r>
              <w:rPr>
                <w:rFonts w:ascii="Calibri" w:hAnsi="Calibri"/>
                <w:b/>
                <w:color w:val="1F4E5F"/>
                <w:sz w:val="19"/>
              </w:rPr>
              <w:t>Type de financement recherche</w:t>
            </w:r>
          </w:p>
        </w:tc>
        <w:tc>
          <w:tcPr>
            <w:tcW w:type="dxa" w:w="6984"/>
            <w:tcMar>
              <w:top w:w="80" w:type="dxa"/>
              <w:start w:w="120" w:type="dxa"/>
              <w:bottom w:w="80" w:type="dxa"/>
              <w:end w:w="120" w:type="dxa"/>
            </w:tcMar>
            <w:vAlign w:val="center"/>
          </w:tcPr>
          <w:p>
            <w:r>
              <w:rPr>
                <w:rFonts w:ascii="Calibri" w:hAnsi="Calibri"/>
                <w:sz w:val="19"/>
              </w:rPr>
              <w:t>Subvention, prix, incubation financee, equity pre-seed, ou avance sans interet. Pas de pret a interet.</w:t>
            </w:r>
          </w:p>
        </w:tc>
      </w:tr>
      <w:tr>
        <w:tc>
          <w:tcPr>
            <w:tcW w:type="dxa" w:w="2448"/>
            <w:tcMar>
              <w:top w:w="80" w:type="dxa"/>
              <w:start w:w="120" w:type="dxa"/>
              <w:bottom w:w="80" w:type="dxa"/>
              <w:end w:w="120" w:type="dxa"/>
            </w:tcMar>
            <w:vAlign w:val="center"/>
            <w:shd w:fill="F4F6F9"/>
          </w:tcPr>
          <w:p>
            <w:r>
              <w:rPr>
                <w:rFonts w:ascii="Calibri" w:hAnsi="Calibri"/>
                <w:b/>
                <w:color w:val="1F4E5F"/>
                <w:sz w:val="19"/>
              </w:rPr>
              <w:t>Date</w:t>
            </w:r>
          </w:p>
        </w:tc>
        <w:tc>
          <w:tcPr>
            <w:tcW w:type="dxa" w:w="6984"/>
            <w:tcMar>
              <w:top w:w="80" w:type="dxa"/>
              <w:start w:w="120" w:type="dxa"/>
              <w:bottom w:w="80" w:type="dxa"/>
              <w:end w:w="120" w:type="dxa"/>
            </w:tcMar>
            <w:vAlign w:val="center"/>
          </w:tcPr>
          <w:p>
            <w:r>
              <w:rPr>
                <w:rFonts w:ascii="Calibri" w:hAnsi="Calibri"/>
                <w:sz w:val="19"/>
              </w:rPr>
              <w:t>2026-06-29</w:t>
            </w:r>
          </w:p>
        </w:tc>
      </w:tr>
    </w:tbl>
    <w:p>
      <w:r>
        <w:br w:type="page"/>
      </w:r>
    </w:p>
    <w:p>
      <w:pPr>
        <w:pStyle w:val="Heading1"/>
      </w:pPr>
      <w:r>
        <w:t>1. Resume executif</w:t>
      </w:r>
    </w:p>
    <w:p>
      <w:r>
        <w:rPr>
          <w:rFonts w:ascii="Calibri" w:hAnsi="Calibri"/>
        </w:rPr>
        <w:t>Deggal est une startup d'infrastructure de confiance pour le secteur informel. Son premier produit est un service de verification terrain qui transforme des preuves simples - voix, photos, recus, references fournisseurs, localisation et consentement - en passeports business verifies pour petits commercants.</w:t>
      </w:r>
    </w:p>
    <w:p>
      <w:r>
        <w:rPr>
          <w:rFonts w:ascii="Calibri" w:hAnsi="Calibri"/>
        </w:rPr>
        <w:t>Le projet demande un premier financement de 2 500 000 FCFA pour executer un pilote de 30 jours a Dakar. Le financement servira principalement a payer les agents terrain, le responsable terrain/back-office, les transports, la connectivite, les cartes QR, la revue vie privee et les rencontres partenaires.</w:t>
      </w:r>
    </w:p>
    <w:tbl>
      <w:tblPr>
        <w:tblW w:type="auto" w:w="0"/>
        <w:jc w:val="center"/>
        <w:tblLayout w:type="fixed"/>
        <w:tblLook w:firstColumn="1" w:firstRow="1" w:lastColumn="0" w:lastRow="0" w:noHBand="0" w:noVBand="1" w:val="04A0"/>
      </w:tblPr>
      <w:tblGrid>
        <w:gridCol w:w="9792"/>
      </w:tblGrid>
      <w:tr>
        <w:tc>
          <w:tcPr>
            <w:tcW w:type="dxa" w:w="9432"/>
            <w:shd w:fill="E6F4F1"/>
            <w:tcMar>
              <w:top w:w="120" w:type="dxa"/>
              <w:start w:w="160" w:type="dxa"/>
              <w:bottom w:w="120" w:type="dxa"/>
              <w:end w:w="160" w:type="dxa"/>
            </w:tcMar>
          </w:tcPr>
          <w:p>
            <w:pPr>
              <w:spacing w:after="40"/>
            </w:pPr>
            <w:r>
              <w:rPr>
                <w:rFonts w:ascii="Calibri" w:hAnsi="Calibri"/>
                <w:b/>
                <w:color w:val="1F4E5F"/>
                <w:sz w:val="21"/>
              </w:rPr>
              <w:t>Objectif du financement</w:t>
            </w:r>
          </w:p>
          <w:p>
            <w:pPr>
              <w:spacing w:after="0" w:line="276" w:lineRule="auto"/>
            </w:pPr>
            <w:r>
              <w:rPr>
                <w:rFonts w:ascii="Calibri" w:hAnsi="Calibri"/>
                <w:color w:val="1F2933"/>
                <w:sz w:val="20"/>
              </w:rPr>
              <w:t>Prouver en 30 jours que Deggal peut verifier 200 a 300 marchands, collecter 1 000 a 1 800 preuves, rencontrer 20 a 30 partenaires et obtenir 3 a 5 partenaires chauds, dont au moins 1 paiement, bon de commande ou LOI forte.</w:t>
            </w:r>
          </w:p>
        </w:tc>
      </w:tr>
    </w:tbl>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2448"/>
            <w:tcMar>
              <w:top w:w="80" w:type="dxa"/>
              <w:start w:w="120" w:type="dxa"/>
              <w:bottom w:w="80" w:type="dxa"/>
              <w:end w:w="120" w:type="dxa"/>
            </w:tcMar>
            <w:vAlign w:val="center"/>
            <w:shd w:fill="F4F6F9"/>
          </w:tcPr>
          <w:p>
            <w:pPr>
              <w:spacing w:after="0"/>
              <w:jc w:val="center"/>
            </w:pPr>
            <w:r>
              <w:rPr>
                <w:rFonts w:ascii="Calibri" w:hAnsi="Calibri"/>
                <w:b/>
                <w:color w:val="1F4E5F"/>
                <w:sz w:val="17"/>
              </w:rPr>
              <w:t>Indicateur</w:t>
            </w:r>
          </w:p>
        </w:tc>
        <w:tc>
          <w:tcPr>
            <w:tcW w:type="dxa" w:w="2448"/>
            <w:tcMar>
              <w:top w:w="80" w:type="dxa"/>
              <w:start w:w="120" w:type="dxa"/>
              <w:bottom w:w="80" w:type="dxa"/>
              <w:end w:w="120" w:type="dxa"/>
            </w:tcMar>
            <w:vAlign w:val="center"/>
            <w:shd w:fill="F4F6F9"/>
          </w:tcPr>
          <w:p>
            <w:pPr>
              <w:spacing w:after="0"/>
              <w:jc w:val="center"/>
            </w:pPr>
            <w:r>
              <w:rPr>
                <w:rFonts w:ascii="Calibri" w:hAnsi="Calibri"/>
                <w:b/>
                <w:color w:val="1F4E5F"/>
                <w:sz w:val="17"/>
              </w:rPr>
              <w:t>Cible 30 jours</w:t>
            </w:r>
          </w:p>
        </w:tc>
        <w:tc>
          <w:tcPr>
            <w:tcW w:type="dxa" w:w="4536"/>
            <w:tcMar>
              <w:top w:w="80" w:type="dxa"/>
              <w:start w:w="120" w:type="dxa"/>
              <w:bottom w:w="80" w:type="dxa"/>
              <w:end w:w="120" w:type="dxa"/>
            </w:tcMar>
            <w:vAlign w:val="center"/>
            <w:shd w:fill="F4F6F9"/>
          </w:tcPr>
          <w:p>
            <w:pPr>
              <w:spacing w:after="0"/>
              <w:jc w:val="center"/>
            </w:pPr>
            <w:r>
              <w:rPr>
                <w:rFonts w:ascii="Calibri" w:hAnsi="Calibri"/>
                <w:b/>
                <w:color w:val="1F4E5F"/>
                <w:sz w:val="17"/>
              </w:rPr>
              <w:t>Pourquoi c'est important</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Marchands approches</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700-900</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Montre la capacite terrain sans forcer les refus.</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Marchands verifies</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Base 200 / cible 250 / stretch 300</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Prouve la vitesse et la qualite d'execution.</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Profils partageables</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160-240</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Mesure la qualite de consentement et de preuve.</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Partenaires rencontres</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20-30</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Prouve qu'il existe une demande au-dela des marchands.</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Partenaires chauds</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3-5</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Premier signal de monetisation B2B/B2B2C.</w:t>
            </w:r>
          </w:p>
        </w:tc>
      </w:tr>
      <w:tr>
        <w:tc>
          <w:tcPr>
            <w:tcW w:type="dxa" w:w="2448"/>
            <w:tcMar>
              <w:top w:w="80" w:type="dxa"/>
              <w:start w:w="120" w:type="dxa"/>
              <w:bottom w:w="80" w:type="dxa"/>
              <w:end w:w="120" w:type="dxa"/>
            </w:tcMar>
            <w:vAlign w:val="center"/>
          </w:tcPr>
          <w:p>
            <w:pPr>
              <w:spacing w:after="0" w:line="259" w:lineRule="auto"/>
              <w:jc w:val="left"/>
            </w:pPr>
            <w:r>
              <w:rPr>
                <w:rFonts w:ascii="Calibri" w:hAnsi="Calibri"/>
                <w:sz w:val="17"/>
              </w:rPr>
              <w:t>Paiement ou LOI</w:t>
            </w:r>
          </w:p>
        </w:tc>
        <w:tc>
          <w:tcPr>
            <w:tcW w:type="dxa" w:w="2448"/>
            <w:tcMar>
              <w:top w:w="80" w:type="dxa"/>
              <w:start w:w="120" w:type="dxa"/>
              <w:bottom w:w="80" w:type="dxa"/>
              <w:end w:w="120" w:type="dxa"/>
            </w:tcMar>
            <w:vAlign w:val="center"/>
          </w:tcPr>
          <w:p>
            <w:pPr>
              <w:spacing w:after="0" w:line="259" w:lineRule="auto"/>
            </w:pPr>
            <w:r>
              <w:rPr>
                <w:rFonts w:ascii="Calibri" w:hAnsi="Calibri"/>
                <w:sz w:val="17"/>
              </w:rPr>
              <w:t>1</w:t>
            </w:r>
          </w:p>
        </w:tc>
        <w:tc>
          <w:tcPr>
            <w:tcW w:type="dxa" w:w="4536"/>
            <w:tcMar>
              <w:top w:w="80" w:type="dxa"/>
              <w:start w:w="120" w:type="dxa"/>
              <w:bottom w:w="80" w:type="dxa"/>
              <w:end w:w="120" w:type="dxa"/>
            </w:tcMar>
            <w:vAlign w:val="center"/>
          </w:tcPr>
          <w:p>
            <w:pPr>
              <w:spacing w:after="0" w:line="259" w:lineRule="auto"/>
            </w:pPr>
            <w:r>
              <w:rPr>
                <w:rFonts w:ascii="Calibri" w:hAnsi="Calibri"/>
                <w:sz w:val="17"/>
              </w:rPr>
              <w:t>Transforme le pilote en preuve commerciale.</w:t>
            </w:r>
          </w:p>
        </w:tc>
      </w:tr>
    </w:tbl>
    <w:p/>
    <w:p>
      <w:pPr>
        <w:pStyle w:val="Heading1"/>
      </w:pPr>
      <w:r>
        <w:t>2. Probleme a resoudre</w:t>
      </w:r>
    </w:p>
    <w:p>
      <w:r>
        <w:rPr>
          <w:rFonts w:ascii="Calibri" w:hAnsi="Calibri"/>
        </w:rPr>
        <w:t>Les petits commercants informels vendent, achetent, remboursent des fournisseurs, utilisent WhatsApp et mobile money, mais leurs preuves restent dispersees. Quand un fournisseur, une association, une microfinance, un programme public ou un acheteur veut verifier leur activite, le marchand doit tout raconter a nouveau, sans dossier simple, sans historique organise et sans consentement clair.</w:t>
      </w:r>
    </w:p>
    <w:p>
      <w:r>
        <w:rPr>
          <w:rFonts w:ascii="Calibri" w:hAnsi="Calibri"/>
        </w:rPr>
        <w:t>Deggal part d'une these simple: ces activites ne sont pas impossibles a verifier, elles sont seulement non documentees. Le probleme n'est donc pas seulement bancaire. C'est un probleme de preuve, de confiance et de coordination entre marchands informels et partenaires economiques.</w:t>
      </w:r>
    </w:p>
    <w:p>
      <w:pPr>
        <w:pStyle w:val="ListBullet"/>
        <w:spacing w:after="60" w:line="276" w:lineRule="auto"/>
        <w:ind w:left="403" w:hanging="144"/>
      </w:pPr>
      <w:r>
        <w:rPr>
          <w:rFonts w:ascii="Calibri" w:hAnsi="Calibri"/>
          <w:sz w:val="21"/>
        </w:rPr>
        <w:t>Les marchands n'ont pas de dossier propre quand un partenaire demande une preuve.</w:t>
      </w:r>
    </w:p>
    <w:p>
      <w:pPr>
        <w:pStyle w:val="ListBullet"/>
        <w:spacing w:after="60" w:line="276" w:lineRule="auto"/>
        <w:ind w:left="403" w:hanging="144"/>
      </w:pPr>
      <w:r>
        <w:rPr>
          <w:rFonts w:ascii="Calibri" w:hAnsi="Calibri"/>
          <w:sz w:val="21"/>
        </w:rPr>
        <w:t>Les fournisseurs et programmes perdent du temps a verifier manuellement les memes informations.</w:t>
      </w:r>
    </w:p>
    <w:p>
      <w:pPr>
        <w:pStyle w:val="ListBullet"/>
        <w:spacing w:after="60" w:line="276" w:lineRule="auto"/>
        <w:ind w:left="403" w:hanging="144"/>
      </w:pPr>
      <w:r>
        <w:rPr>
          <w:rFonts w:ascii="Calibri" w:hAnsi="Calibri"/>
          <w:sz w:val="21"/>
        </w:rPr>
        <w:t>Les preuves mobile money, photos, recus et references existent mais ne sont pas structurees.</w:t>
      </w:r>
    </w:p>
    <w:p>
      <w:pPr>
        <w:pStyle w:val="ListBullet"/>
        <w:spacing w:after="60" w:line="276" w:lineRule="auto"/>
        <w:ind w:left="403" w:hanging="144"/>
      </w:pPr>
      <w:r>
        <w:rPr>
          <w:rFonts w:ascii="Calibri" w:hAnsi="Calibri"/>
          <w:sz w:val="21"/>
        </w:rPr>
        <w:t>Les institutions financieres ou non financieres recoivent souvent des dossiers incomplets.</w:t>
      </w:r>
    </w:p>
    <w:p>
      <w:pPr>
        <w:pStyle w:val="ListBullet"/>
        <w:spacing w:after="60" w:line="276" w:lineRule="auto"/>
        <w:ind w:left="403" w:hanging="144"/>
      </w:pPr>
      <w:r>
        <w:rPr>
          <w:rFonts w:ascii="Calibri" w:hAnsi="Calibri"/>
          <w:sz w:val="21"/>
        </w:rPr>
        <w:t>Les partenaires serieux manquent d'une methode simple pour cibler les vrais actifs du marche.</w:t>
      </w:r>
    </w:p>
    <w:p>
      <w:pPr>
        <w:pStyle w:val="Heading1"/>
      </w:pPr>
      <w:r>
        <w:t>3. Solution Deggal</w:t>
      </w:r>
    </w:p>
    <w:p>
      <w:r>
        <w:rPr>
          <w:rFonts w:ascii="Calibri" w:hAnsi="Calibri"/>
        </w:rPr>
        <w:t>Deggal cree un passeport business verifie pour les marchands informels serieux. L'experience marchand reste simple: un agent terrain ecoute, photographie le stand ou le stock, collecte des recus ou references avec consentement, puis le back-office transforme ces elements en profil partageable.</w:t>
      </w:r>
    </w:p>
    <w:p>
      <w:r>
        <w:rPr>
          <w:rFonts w:ascii="Calibri" w:hAnsi="Calibri"/>
        </w:rPr>
        <w:t>Le marchand n'a pas besoin d'une nouvelle application. Il peut parler, montrer, recevoir une carte/sticker avec QR et confirmer ce qui peut etre partage. Les partenaires, eux, obtiennent une vue filtree et limitee dans le temps, jamais le dossier brut.</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1944"/>
            <w:tcMar>
              <w:top w:w="80" w:type="dxa"/>
              <w:start w:w="120" w:type="dxa"/>
              <w:bottom w:w="80" w:type="dxa"/>
              <w:end w:w="120" w:type="dxa"/>
            </w:tcMar>
            <w:vAlign w:val="center"/>
            <w:shd w:fill="F4F6F9"/>
          </w:tcPr>
          <w:p>
            <w:pPr>
              <w:spacing w:after="0"/>
              <w:jc w:val="center"/>
            </w:pPr>
            <w:r>
              <w:rPr>
                <w:rFonts w:ascii="Calibri" w:hAnsi="Calibri"/>
                <w:b/>
                <w:color w:val="1F4E5F"/>
                <w:sz w:val="17"/>
              </w:rPr>
              <w:t>Composant</w:t>
            </w:r>
          </w:p>
        </w:tc>
        <w:tc>
          <w:tcPr>
            <w:tcW w:type="dxa" w:w="4320"/>
            <w:tcMar>
              <w:top w:w="80" w:type="dxa"/>
              <w:start w:w="120" w:type="dxa"/>
              <w:bottom w:w="80" w:type="dxa"/>
              <w:end w:w="120" w:type="dxa"/>
            </w:tcMar>
            <w:vAlign w:val="center"/>
            <w:shd w:fill="F4F6F9"/>
          </w:tcPr>
          <w:p>
            <w:pPr>
              <w:spacing w:after="0"/>
              <w:jc w:val="center"/>
            </w:pPr>
            <w:r>
              <w:rPr>
                <w:rFonts w:ascii="Calibri" w:hAnsi="Calibri"/>
                <w:b/>
                <w:color w:val="1F4E5F"/>
                <w:sz w:val="17"/>
              </w:rPr>
              <w:t>Description</w:t>
            </w:r>
          </w:p>
        </w:tc>
        <w:tc>
          <w:tcPr>
            <w:tcW w:type="dxa" w:w="3168"/>
            <w:tcMar>
              <w:top w:w="80" w:type="dxa"/>
              <w:start w:w="120" w:type="dxa"/>
              <w:bottom w:w="80" w:type="dxa"/>
              <w:end w:w="120" w:type="dxa"/>
            </w:tcMar>
            <w:vAlign w:val="center"/>
            <w:shd w:fill="F4F6F9"/>
          </w:tcPr>
          <w:p>
            <w:pPr>
              <w:spacing w:after="0"/>
              <w:jc w:val="center"/>
            </w:pPr>
            <w:r>
              <w:rPr>
                <w:rFonts w:ascii="Calibri" w:hAnsi="Calibri"/>
                <w:b/>
                <w:color w:val="1F4E5F"/>
                <w:sz w:val="17"/>
              </w:rPr>
              <w:t>Valeur creee</w:t>
            </w:r>
          </w:p>
        </w:tc>
      </w:tr>
      <w:tr>
        <w:tc>
          <w:tcPr>
            <w:tcW w:type="dxa" w:w="1944"/>
            <w:tcMar>
              <w:top w:w="80" w:type="dxa"/>
              <w:start w:w="120" w:type="dxa"/>
              <w:bottom w:w="80" w:type="dxa"/>
              <w:end w:w="120" w:type="dxa"/>
            </w:tcMar>
            <w:vAlign w:val="center"/>
          </w:tcPr>
          <w:p>
            <w:pPr>
              <w:spacing w:after="0" w:line="259" w:lineRule="auto"/>
              <w:jc w:val="left"/>
            </w:pPr>
            <w:r>
              <w:rPr>
                <w:rFonts w:ascii="Calibri" w:hAnsi="Calibri"/>
                <w:sz w:val="17"/>
              </w:rPr>
              <w:t>Collecte terrain</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Agent forme, script oral, consentement, photos, audio court, recus, references.</w:t>
            </w:r>
          </w:p>
        </w:tc>
        <w:tc>
          <w:tcPr>
            <w:tcW w:type="dxa" w:w="3168"/>
            <w:tcMar>
              <w:top w:w="80" w:type="dxa"/>
              <w:start w:w="120" w:type="dxa"/>
              <w:bottom w:w="80" w:type="dxa"/>
              <w:end w:w="120" w:type="dxa"/>
            </w:tcMar>
            <w:vAlign w:val="center"/>
          </w:tcPr>
          <w:p>
            <w:pPr>
              <w:spacing w:after="0" w:line="259" w:lineRule="auto"/>
            </w:pPr>
            <w:r>
              <w:rPr>
                <w:rFonts w:ascii="Calibri" w:hAnsi="Calibri"/>
                <w:sz w:val="17"/>
              </w:rPr>
              <w:t>Reduit la friction pour les marchands peu scolarises.</w:t>
            </w:r>
          </w:p>
        </w:tc>
      </w:tr>
      <w:tr>
        <w:tc>
          <w:tcPr>
            <w:tcW w:type="dxa" w:w="1944"/>
            <w:tcMar>
              <w:top w:w="80" w:type="dxa"/>
              <w:start w:w="120" w:type="dxa"/>
              <w:bottom w:w="80" w:type="dxa"/>
              <w:end w:w="120" w:type="dxa"/>
            </w:tcMar>
            <w:vAlign w:val="center"/>
          </w:tcPr>
          <w:p>
            <w:pPr>
              <w:spacing w:after="0" w:line="259" w:lineRule="auto"/>
              <w:jc w:val="left"/>
            </w:pPr>
            <w:r>
              <w:rPr>
                <w:rFonts w:ascii="Calibri" w:hAnsi="Calibri"/>
                <w:sz w:val="17"/>
              </w:rPr>
              <w:t>Passeport business</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Profil marchand avec ID Deggal, niveau de preuve, categorie, zone et date de verification.</w:t>
            </w:r>
          </w:p>
        </w:tc>
        <w:tc>
          <w:tcPr>
            <w:tcW w:type="dxa" w:w="3168"/>
            <w:tcMar>
              <w:top w:w="80" w:type="dxa"/>
              <w:start w:w="120" w:type="dxa"/>
              <w:bottom w:w="80" w:type="dxa"/>
              <w:end w:w="120" w:type="dxa"/>
            </w:tcMar>
            <w:vAlign w:val="center"/>
          </w:tcPr>
          <w:p>
            <w:pPr>
              <w:spacing w:after="0" w:line="259" w:lineRule="auto"/>
            </w:pPr>
            <w:r>
              <w:rPr>
                <w:rFonts w:ascii="Calibri" w:hAnsi="Calibri"/>
                <w:sz w:val="17"/>
              </w:rPr>
              <w:t>Donne une preuve simple a montrer.</w:t>
            </w:r>
          </w:p>
        </w:tc>
      </w:tr>
      <w:tr>
        <w:tc>
          <w:tcPr>
            <w:tcW w:type="dxa" w:w="1944"/>
            <w:tcMar>
              <w:top w:w="80" w:type="dxa"/>
              <w:start w:w="120" w:type="dxa"/>
              <w:bottom w:w="80" w:type="dxa"/>
              <w:end w:w="120" w:type="dxa"/>
            </w:tcMar>
            <w:vAlign w:val="center"/>
          </w:tcPr>
          <w:p>
            <w:pPr>
              <w:spacing w:after="0" w:line="259" w:lineRule="auto"/>
              <w:jc w:val="left"/>
            </w:pPr>
            <w:r>
              <w:rPr>
                <w:rFonts w:ascii="Calibri" w:hAnsi="Calibri"/>
                <w:sz w:val="17"/>
              </w:rPr>
              <w:t>Carte/sticker QR</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QR pointant vers un profil leger ou un code interne au debut.</w:t>
            </w:r>
          </w:p>
        </w:tc>
        <w:tc>
          <w:tcPr>
            <w:tcW w:type="dxa" w:w="3168"/>
            <w:tcMar>
              <w:top w:w="80" w:type="dxa"/>
              <w:start w:w="120" w:type="dxa"/>
              <w:bottom w:w="80" w:type="dxa"/>
              <w:end w:w="120" w:type="dxa"/>
            </w:tcMar>
            <w:vAlign w:val="center"/>
          </w:tcPr>
          <w:p>
            <w:pPr>
              <w:spacing w:after="0" w:line="259" w:lineRule="auto"/>
            </w:pPr>
            <w:r>
              <w:rPr>
                <w:rFonts w:ascii="Calibri" w:hAnsi="Calibri"/>
                <w:sz w:val="17"/>
              </w:rPr>
              <w:t>Experience proche de la simplicite QR mobile money.</w:t>
            </w:r>
          </w:p>
        </w:tc>
      </w:tr>
      <w:tr>
        <w:tc>
          <w:tcPr>
            <w:tcW w:type="dxa" w:w="1944"/>
            <w:tcMar>
              <w:top w:w="80" w:type="dxa"/>
              <w:start w:w="120" w:type="dxa"/>
              <w:bottom w:w="80" w:type="dxa"/>
              <w:end w:w="120" w:type="dxa"/>
            </w:tcMar>
            <w:vAlign w:val="center"/>
          </w:tcPr>
          <w:p>
            <w:pPr>
              <w:spacing w:after="0" w:line="259" w:lineRule="auto"/>
              <w:jc w:val="left"/>
            </w:pPr>
            <w:r>
              <w:rPr>
                <w:rFonts w:ascii="Calibri" w:hAnsi="Calibri"/>
                <w:sz w:val="17"/>
              </w:rPr>
              <w:t>Vue partenaire</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Export PDF/CSV ou dossier Drive filtre, lecture seule et limite dans le temps.</w:t>
            </w:r>
          </w:p>
        </w:tc>
        <w:tc>
          <w:tcPr>
            <w:tcW w:type="dxa" w:w="3168"/>
            <w:tcMar>
              <w:top w:w="80" w:type="dxa"/>
              <w:start w:w="120" w:type="dxa"/>
              <w:bottom w:w="80" w:type="dxa"/>
              <w:end w:w="120" w:type="dxa"/>
            </w:tcMar>
            <w:vAlign w:val="center"/>
          </w:tcPr>
          <w:p>
            <w:pPr>
              <w:spacing w:after="0" w:line="259" w:lineRule="auto"/>
            </w:pPr>
            <w:r>
              <w:rPr>
                <w:rFonts w:ascii="Calibri" w:hAnsi="Calibri"/>
                <w:sz w:val="17"/>
              </w:rPr>
              <w:t>Permet a un partenaire de prendre une decision sans acceder aux donnees brutes.</w:t>
            </w:r>
          </w:p>
        </w:tc>
      </w:tr>
      <w:tr>
        <w:tc>
          <w:tcPr>
            <w:tcW w:type="dxa" w:w="1944"/>
            <w:tcMar>
              <w:top w:w="80" w:type="dxa"/>
              <w:start w:w="120" w:type="dxa"/>
              <w:bottom w:w="80" w:type="dxa"/>
              <w:end w:w="120" w:type="dxa"/>
            </w:tcMar>
            <w:vAlign w:val="center"/>
          </w:tcPr>
          <w:p>
            <w:pPr>
              <w:spacing w:after="0" w:line="259" w:lineRule="auto"/>
              <w:jc w:val="left"/>
            </w:pPr>
            <w:r>
              <w:rPr>
                <w:rFonts w:ascii="Calibri" w:hAnsi="Calibri"/>
                <w:sz w:val="17"/>
              </w:rPr>
              <w:t>Journal de partage</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Trace de chaque profil partage avec consentement, date, champs visibles et partenaire.</w:t>
            </w:r>
          </w:p>
        </w:tc>
        <w:tc>
          <w:tcPr>
            <w:tcW w:type="dxa" w:w="3168"/>
            <w:tcMar>
              <w:top w:w="80" w:type="dxa"/>
              <w:start w:w="120" w:type="dxa"/>
              <w:bottom w:w="80" w:type="dxa"/>
              <w:end w:w="120" w:type="dxa"/>
            </w:tcMar>
            <w:vAlign w:val="center"/>
          </w:tcPr>
          <w:p>
            <w:pPr>
              <w:spacing w:after="0" w:line="259" w:lineRule="auto"/>
            </w:pPr>
            <w:r>
              <w:rPr>
                <w:rFonts w:ascii="Calibri" w:hAnsi="Calibri"/>
                <w:sz w:val="17"/>
              </w:rPr>
              <w:t>Renforce la securite et la confiance.</w:t>
            </w:r>
          </w:p>
        </w:tc>
      </w:tr>
    </w:tbl>
    <w:p/>
    <w:p>
      <w:r>
        <w:br w:type="page"/>
      </w:r>
    </w:p>
    <w:p>
      <w:pPr>
        <w:pStyle w:val="Heading1"/>
      </w:pPr>
      <w:r>
        <w:t>4. Marche et opportunite</w:t>
      </w:r>
    </w:p>
    <w:p>
      <w:r>
        <w:rPr>
          <w:rFonts w:ascii="Calibri" w:hAnsi="Calibri"/>
        </w:rPr>
        <w:t>Le secteur informel est l'economie principale de nombreux marches africains, pas une niche. L'OIT indique que pres de 83% de l'emploi en Afrique et 85% en Afrique subsaharienne est informel. La GSMA rapporte que le mobile money a traite plus de 2 000 milliards USD en 2025 et que les paiements marchands ont atteint 155 milliards USD. Deggal se place entre ces deux realites: beaucoup de commerce existe deja, mais il manque une couche de preuve business utilisable.</w:t>
      </w:r>
    </w:p>
    <w:p>
      <w:r>
        <w:rPr>
          <w:rFonts w:ascii="Calibri" w:hAnsi="Calibri"/>
        </w:rPr>
        <w:t>Le premier marche est Dakar parce que la densite commerciale, les marches physiques, les fournisseurs, les programmes d'entrepreneuriat et les acteurs mobile money permettent de tester rapidement la valeur. L'expansion peut ensuite se faire par categorie de commerce, par marche, puis dans d'autres villes du Senegal et pays d'Afrique de l'Ouest.</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2376"/>
            <w:tcMar>
              <w:top w:w="80" w:type="dxa"/>
              <w:start w:w="120" w:type="dxa"/>
              <w:bottom w:w="80" w:type="dxa"/>
              <w:end w:w="120" w:type="dxa"/>
            </w:tcMar>
            <w:vAlign w:val="center"/>
            <w:shd w:fill="F4F6F9"/>
          </w:tcPr>
          <w:p>
            <w:pPr>
              <w:spacing w:after="0"/>
              <w:jc w:val="center"/>
            </w:pPr>
            <w:r>
              <w:rPr>
                <w:rFonts w:ascii="Calibri" w:hAnsi="Calibri"/>
                <w:b/>
                <w:color w:val="1F4E5F"/>
                <w:sz w:val="17"/>
              </w:rPr>
              <w:t>Segment client</w:t>
            </w:r>
          </w:p>
        </w:tc>
        <w:tc>
          <w:tcPr>
            <w:tcW w:type="dxa" w:w="3672"/>
            <w:tcMar>
              <w:top w:w="80" w:type="dxa"/>
              <w:start w:w="120" w:type="dxa"/>
              <w:bottom w:w="80" w:type="dxa"/>
              <w:end w:w="120" w:type="dxa"/>
            </w:tcMar>
            <w:vAlign w:val="center"/>
            <w:shd w:fill="F4F6F9"/>
          </w:tcPr>
          <w:p>
            <w:pPr>
              <w:spacing w:after="0"/>
              <w:jc w:val="center"/>
            </w:pPr>
            <w:r>
              <w:rPr>
                <w:rFonts w:ascii="Calibri" w:hAnsi="Calibri"/>
                <w:b/>
                <w:color w:val="1F4E5F"/>
                <w:sz w:val="17"/>
              </w:rPr>
              <w:t>Douleur</w:t>
            </w:r>
          </w:p>
        </w:tc>
        <w:tc>
          <w:tcPr>
            <w:tcW w:type="dxa" w:w="3384"/>
            <w:tcMar>
              <w:top w:w="80" w:type="dxa"/>
              <w:start w:w="120" w:type="dxa"/>
              <w:bottom w:w="80" w:type="dxa"/>
              <w:end w:w="120" w:type="dxa"/>
            </w:tcMar>
            <w:vAlign w:val="center"/>
            <w:shd w:fill="F4F6F9"/>
          </w:tcPr>
          <w:p>
            <w:pPr>
              <w:spacing w:after="0"/>
              <w:jc w:val="center"/>
            </w:pPr>
            <w:r>
              <w:rPr>
                <w:rFonts w:ascii="Calibri" w:hAnsi="Calibri"/>
                <w:b/>
                <w:color w:val="1F4E5F"/>
                <w:sz w:val="17"/>
              </w:rPr>
              <w:t>Offre Deggal</w:t>
            </w:r>
          </w:p>
        </w:tc>
      </w:tr>
      <w:tr>
        <w:tc>
          <w:tcPr>
            <w:tcW w:type="dxa" w:w="2376"/>
            <w:tcMar>
              <w:top w:w="80" w:type="dxa"/>
              <w:start w:w="120" w:type="dxa"/>
              <w:bottom w:w="80" w:type="dxa"/>
              <w:end w:w="120" w:type="dxa"/>
            </w:tcMar>
            <w:vAlign w:val="center"/>
          </w:tcPr>
          <w:p>
            <w:pPr>
              <w:spacing w:after="0" w:line="259" w:lineRule="auto"/>
              <w:jc w:val="left"/>
            </w:pPr>
            <w:r>
              <w:rPr>
                <w:rFonts w:ascii="Calibri" w:hAnsi="Calibri"/>
                <w:sz w:val="17"/>
              </w:rPr>
              <w:t>Fournisseurs/grossistes</w:t>
            </w:r>
          </w:p>
        </w:tc>
        <w:tc>
          <w:tcPr>
            <w:tcW w:type="dxa" w:w="3672"/>
            <w:tcMar>
              <w:top w:w="80" w:type="dxa"/>
              <w:start w:w="120" w:type="dxa"/>
              <w:bottom w:w="80" w:type="dxa"/>
              <w:end w:w="120" w:type="dxa"/>
            </w:tcMar>
            <w:vAlign w:val="center"/>
          </w:tcPr>
          <w:p>
            <w:pPr>
              <w:spacing w:after="0" w:line="259" w:lineRule="auto"/>
            </w:pPr>
            <w:r>
              <w:rPr>
                <w:rFonts w:ascii="Calibri" w:hAnsi="Calibri"/>
                <w:sz w:val="17"/>
              </w:rPr>
              <w:t>Trouver de vrais revendeurs fiables sans visiter tout le marche.</w:t>
            </w:r>
          </w:p>
        </w:tc>
        <w:tc>
          <w:tcPr>
            <w:tcW w:type="dxa" w:w="3384"/>
            <w:tcMar>
              <w:top w:w="80" w:type="dxa"/>
              <w:start w:w="120" w:type="dxa"/>
              <w:bottom w:w="80" w:type="dxa"/>
              <w:end w:w="120" w:type="dxa"/>
            </w:tcMar>
            <w:vAlign w:val="center"/>
          </w:tcPr>
          <w:p>
            <w:pPr>
              <w:spacing w:after="0" w:line="259" w:lineRule="auto"/>
            </w:pPr>
            <w:r>
              <w:rPr>
                <w:rFonts w:ascii="Calibri" w:hAnsi="Calibri"/>
                <w:sz w:val="17"/>
              </w:rPr>
              <w:t>Campagne 50-100 marchands verifies par categorie.</w:t>
            </w:r>
          </w:p>
        </w:tc>
      </w:tr>
      <w:tr>
        <w:tc>
          <w:tcPr>
            <w:tcW w:type="dxa" w:w="2376"/>
            <w:tcMar>
              <w:top w:w="80" w:type="dxa"/>
              <w:start w:w="120" w:type="dxa"/>
              <w:bottom w:w="80" w:type="dxa"/>
              <w:end w:w="120" w:type="dxa"/>
            </w:tcMar>
            <w:vAlign w:val="center"/>
          </w:tcPr>
          <w:p>
            <w:pPr>
              <w:spacing w:after="0" w:line="259" w:lineRule="auto"/>
              <w:jc w:val="left"/>
            </w:pPr>
            <w:r>
              <w:rPr>
                <w:rFonts w:ascii="Calibri" w:hAnsi="Calibri"/>
                <w:sz w:val="17"/>
              </w:rPr>
              <w:t>Associations de marche</w:t>
            </w:r>
          </w:p>
        </w:tc>
        <w:tc>
          <w:tcPr>
            <w:tcW w:type="dxa" w:w="3672"/>
            <w:tcMar>
              <w:top w:w="80" w:type="dxa"/>
              <w:start w:w="120" w:type="dxa"/>
              <w:bottom w:w="80" w:type="dxa"/>
              <w:end w:w="120" w:type="dxa"/>
            </w:tcMar>
            <w:vAlign w:val="center"/>
          </w:tcPr>
          <w:p>
            <w:pPr>
              <w:spacing w:after="0" w:line="259" w:lineRule="auto"/>
            </w:pPr>
            <w:r>
              <w:rPr>
                <w:rFonts w:ascii="Calibri" w:hAnsi="Calibri"/>
                <w:sz w:val="17"/>
              </w:rPr>
              <w:t>Fichiers membres peu propres, membres difficiles a suivre.</w:t>
            </w:r>
          </w:p>
        </w:tc>
        <w:tc>
          <w:tcPr>
            <w:tcW w:type="dxa" w:w="3384"/>
            <w:tcMar>
              <w:top w:w="80" w:type="dxa"/>
              <w:start w:w="120" w:type="dxa"/>
              <w:bottom w:w="80" w:type="dxa"/>
              <w:end w:w="120" w:type="dxa"/>
            </w:tcMar>
            <w:vAlign w:val="center"/>
          </w:tcPr>
          <w:p>
            <w:pPr>
              <w:spacing w:after="0" w:line="259" w:lineRule="auto"/>
            </w:pPr>
            <w:r>
              <w:rPr>
                <w:rFonts w:ascii="Calibri" w:hAnsi="Calibri"/>
                <w:sz w:val="17"/>
              </w:rPr>
              <w:t>Verification membres + cartes QR.</w:t>
            </w:r>
          </w:p>
        </w:tc>
      </w:tr>
      <w:tr>
        <w:tc>
          <w:tcPr>
            <w:tcW w:type="dxa" w:w="2376"/>
            <w:tcMar>
              <w:top w:w="80" w:type="dxa"/>
              <w:start w:w="120" w:type="dxa"/>
              <w:bottom w:w="80" w:type="dxa"/>
              <w:end w:w="120" w:type="dxa"/>
            </w:tcMar>
            <w:vAlign w:val="center"/>
          </w:tcPr>
          <w:p>
            <w:pPr>
              <w:spacing w:after="0" w:line="259" w:lineRule="auto"/>
              <w:jc w:val="left"/>
            </w:pPr>
            <w:r>
              <w:rPr>
                <w:rFonts w:ascii="Calibri" w:hAnsi="Calibri"/>
                <w:sz w:val="17"/>
              </w:rPr>
              <w:t>ONG/programmes</w:t>
            </w:r>
          </w:p>
        </w:tc>
        <w:tc>
          <w:tcPr>
            <w:tcW w:type="dxa" w:w="3672"/>
            <w:tcMar>
              <w:top w:w="80" w:type="dxa"/>
              <w:start w:w="120" w:type="dxa"/>
              <w:bottom w:w="80" w:type="dxa"/>
              <w:end w:w="120" w:type="dxa"/>
            </w:tcMar>
            <w:vAlign w:val="center"/>
          </w:tcPr>
          <w:p>
            <w:pPr>
              <w:spacing w:after="0" w:line="259" w:lineRule="auto"/>
            </w:pPr>
            <w:r>
              <w:rPr>
                <w:rFonts w:ascii="Calibri" w:hAnsi="Calibri"/>
                <w:sz w:val="17"/>
              </w:rPr>
              <w:t>Risque de faux beneficiaires ou de dossiers incomplets.</w:t>
            </w:r>
          </w:p>
        </w:tc>
        <w:tc>
          <w:tcPr>
            <w:tcW w:type="dxa" w:w="3384"/>
            <w:tcMar>
              <w:top w:w="80" w:type="dxa"/>
              <w:start w:w="120" w:type="dxa"/>
              <w:bottom w:w="80" w:type="dxa"/>
              <w:end w:w="120" w:type="dxa"/>
            </w:tcMar>
            <w:vAlign w:val="center"/>
          </w:tcPr>
          <w:p>
            <w:pPr>
              <w:spacing w:after="0" w:line="259" w:lineRule="auto"/>
            </w:pPr>
            <w:r>
              <w:rPr>
                <w:rFonts w:ascii="Calibri" w:hAnsi="Calibri"/>
                <w:sz w:val="17"/>
              </w:rPr>
              <w:t>Pre-verification terrain et rapport de preuve.</w:t>
            </w:r>
          </w:p>
        </w:tc>
      </w:tr>
      <w:tr>
        <w:tc>
          <w:tcPr>
            <w:tcW w:type="dxa" w:w="2376"/>
            <w:tcMar>
              <w:top w:w="80" w:type="dxa"/>
              <w:start w:w="120" w:type="dxa"/>
              <w:bottom w:w="80" w:type="dxa"/>
              <w:end w:w="120" w:type="dxa"/>
            </w:tcMar>
            <w:vAlign w:val="center"/>
          </w:tcPr>
          <w:p>
            <w:pPr>
              <w:spacing w:after="0" w:line="259" w:lineRule="auto"/>
              <w:jc w:val="left"/>
            </w:pPr>
            <w:r>
              <w:rPr>
                <w:rFonts w:ascii="Calibri" w:hAnsi="Calibri"/>
                <w:sz w:val="17"/>
              </w:rPr>
              <w:t>Equipement/assets</w:t>
            </w:r>
          </w:p>
        </w:tc>
        <w:tc>
          <w:tcPr>
            <w:tcW w:type="dxa" w:w="3672"/>
            <w:tcMar>
              <w:top w:w="80" w:type="dxa"/>
              <w:start w:w="120" w:type="dxa"/>
              <w:bottom w:w="80" w:type="dxa"/>
              <w:end w:w="120" w:type="dxa"/>
            </w:tcMar>
            <w:vAlign w:val="center"/>
          </w:tcPr>
          <w:p>
            <w:pPr>
              <w:spacing w:after="0" w:line="259" w:lineRule="auto"/>
            </w:pPr>
            <w:r>
              <w:rPr>
                <w:rFonts w:ascii="Calibri" w:hAnsi="Calibri"/>
                <w:sz w:val="17"/>
              </w:rPr>
              <w:t>Verifier qui exploite vraiment un commerce avant de placer du materiel.</w:t>
            </w:r>
          </w:p>
        </w:tc>
        <w:tc>
          <w:tcPr>
            <w:tcW w:type="dxa" w:w="3384"/>
            <w:tcMar>
              <w:top w:w="80" w:type="dxa"/>
              <w:start w:w="120" w:type="dxa"/>
              <w:bottom w:w="80" w:type="dxa"/>
              <w:end w:w="120" w:type="dxa"/>
            </w:tcMar>
            <w:vAlign w:val="center"/>
          </w:tcPr>
          <w:p>
            <w:pPr>
              <w:spacing w:after="0" w:line="259" w:lineRule="auto"/>
            </w:pPr>
            <w:r>
              <w:rPr>
                <w:rFonts w:ascii="Calibri" w:hAnsi="Calibri"/>
                <w:sz w:val="17"/>
              </w:rPr>
              <w:t>Dossier pre-installation et suivi.</w:t>
            </w:r>
          </w:p>
        </w:tc>
      </w:tr>
      <w:tr>
        <w:tc>
          <w:tcPr>
            <w:tcW w:type="dxa" w:w="2376"/>
            <w:tcMar>
              <w:top w:w="80" w:type="dxa"/>
              <w:start w:w="120" w:type="dxa"/>
              <w:bottom w:w="80" w:type="dxa"/>
              <w:end w:w="120" w:type="dxa"/>
            </w:tcMar>
            <w:vAlign w:val="center"/>
          </w:tcPr>
          <w:p>
            <w:pPr>
              <w:spacing w:after="0" w:line="259" w:lineRule="auto"/>
            </w:pPr>
            <w:r>
              <w:rPr>
                <w:rFonts w:ascii="Calibri" w:hAnsi="Calibri"/>
                <w:sz w:val="17"/>
              </w:rPr>
              <w:t>Microfinance/banque/mutuelle</w:t>
            </w:r>
          </w:p>
        </w:tc>
        <w:tc>
          <w:tcPr>
            <w:tcW w:type="dxa" w:w="3672"/>
            <w:tcMar>
              <w:top w:w="80" w:type="dxa"/>
              <w:start w:w="120" w:type="dxa"/>
              <w:bottom w:w="80" w:type="dxa"/>
              <w:end w:w="120" w:type="dxa"/>
            </w:tcMar>
            <w:vAlign w:val="center"/>
          </w:tcPr>
          <w:p>
            <w:pPr>
              <w:spacing w:after="0" w:line="259" w:lineRule="auto"/>
            </w:pPr>
            <w:r>
              <w:rPr>
                <w:rFonts w:ascii="Calibri" w:hAnsi="Calibri"/>
                <w:sz w:val="17"/>
              </w:rPr>
              <w:t>Dossiers marchands faibles ou disperses.</w:t>
            </w:r>
          </w:p>
        </w:tc>
        <w:tc>
          <w:tcPr>
            <w:tcW w:type="dxa" w:w="3384"/>
            <w:tcMar>
              <w:top w:w="80" w:type="dxa"/>
              <w:start w:w="120" w:type="dxa"/>
              <w:bottom w:w="80" w:type="dxa"/>
              <w:end w:w="120" w:type="dxa"/>
            </w:tcMar>
            <w:vAlign w:val="center"/>
          </w:tcPr>
          <w:p>
            <w:pPr>
              <w:spacing w:after="0" w:line="259" w:lineRule="auto"/>
            </w:pPr>
            <w:r>
              <w:rPr>
                <w:rFonts w:ascii="Calibri" w:hAnsi="Calibri"/>
                <w:sz w:val="17"/>
              </w:rPr>
              <w:t>Pre-dossier de preuve, sans promesse de financement.</w:t>
            </w:r>
          </w:p>
        </w:tc>
      </w:tr>
    </w:tbl>
    <w:p/>
    <w:p>
      <w:pPr>
        <w:pStyle w:val="Heading1"/>
      </w:pPr>
      <w:r>
        <w:t>5. Modele economique</w:t>
      </w:r>
    </w:p>
    <w:p>
      <w:r>
        <w:rPr>
          <w:rFonts w:ascii="Calibri" w:hAnsi="Calibri"/>
        </w:rPr>
        <w:t>Deggal ne vend pas de pret et ne gagne pas d'interet. Le revenu vient d'un service de verification, d'acces partenaire controle et de campagnes de qualification. Les marchands peuvent beneficier d'un passeport sans que Deggal promette financement, subvention, contrat ou selection.</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2952"/>
            <w:tcMar>
              <w:top w:w="80" w:type="dxa"/>
              <w:start w:w="120" w:type="dxa"/>
              <w:bottom w:w="80" w:type="dxa"/>
              <w:end w:w="120" w:type="dxa"/>
            </w:tcMar>
            <w:vAlign w:val="center"/>
            <w:shd w:fill="F4F6F9"/>
          </w:tcPr>
          <w:p>
            <w:pPr>
              <w:spacing w:after="0"/>
              <w:jc w:val="center"/>
            </w:pPr>
            <w:r>
              <w:rPr>
                <w:rFonts w:ascii="Calibri" w:hAnsi="Calibri"/>
                <w:b/>
                <w:color w:val="1F4E5F"/>
                <w:sz w:val="17"/>
              </w:rPr>
              <w:t>Source de revenu</w:t>
            </w:r>
          </w:p>
        </w:tc>
        <w:tc>
          <w:tcPr>
            <w:tcW w:type="dxa" w:w="2952"/>
            <w:tcMar>
              <w:top w:w="80" w:type="dxa"/>
              <w:start w:w="120" w:type="dxa"/>
              <w:bottom w:w="80" w:type="dxa"/>
              <w:end w:w="120" w:type="dxa"/>
            </w:tcMar>
            <w:vAlign w:val="center"/>
            <w:shd w:fill="F4F6F9"/>
          </w:tcPr>
          <w:p>
            <w:pPr>
              <w:spacing w:after="0"/>
              <w:jc w:val="center"/>
            </w:pPr>
            <w:r>
              <w:rPr>
                <w:rFonts w:ascii="Calibri" w:hAnsi="Calibri"/>
                <w:b/>
                <w:color w:val="1F4E5F"/>
                <w:sz w:val="17"/>
              </w:rPr>
              <w:t>Prix indicatif</w:t>
            </w:r>
          </w:p>
        </w:tc>
        <w:tc>
          <w:tcPr>
            <w:tcW w:type="dxa" w:w="3528"/>
            <w:tcMar>
              <w:top w:w="80" w:type="dxa"/>
              <w:start w:w="120" w:type="dxa"/>
              <w:bottom w:w="80" w:type="dxa"/>
              <w:end w:w="120" w:type="dxa"/>
            </w:tcMar>
            <w:vAlign w:val="center"/>
            <w:shd w:fill="F4F6F9"/>
          </w:tcPr>
          <w:p>
            <w:pPr>
              <w:spacing w:after="0"/>
              <w:jc w:val="center"/>
            </w:pPr>
            <w:r>
              <w:rPr>
                <w:rFonts w:ascii="Calibri" w:hAnsi="Calibri"/>
                <w:b/>
                <w:color w:val="1F4E5F"/>
                <w:sz w:val="17"/>
              </w:rPr>
              <w:t>Client payeur</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Rapport ponctuel</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50 000-150 000 FCFA</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Fournisseur, association, programme</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Campagne verifiee</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300 000-900 000 FCFA</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Partenaire qui veut 50-100 profils verifies</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Inscription partenaire</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10 000-30 000 FCFA</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Grossiste, fournisseur, association, institution</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Acces mensuel</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60 000-300 000 FCFA/mois</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Partenaire qui suit un pipeline</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Verification par marchand</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2 000-6 000 FCFA</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Programme, association ou partenaire</w:t>
            </w:r>
          </w:p>
        </w:tc>
      </w:tr>
      <w:tr>
        <w:tc>
          <w:tcPr>
            <w:tcW w:type="dxa" w:w="2952"/>
            <w:tcMar>
              <w:top w:w="80" w:type="dxa"/>
              <w:start w:w="120" w:type="dxa"/>
              <w:bottom w:w="80" w:type="dxa"/>
              <w:end w:w="120" w:type="dxa"/>
            </w:tcMar>
            <w:vAlign w:val="center"/>
          </w:tcPr>
          <w:p>
            <w:pPr>
              <w:spacing w:after="0" w:line="259" w:lineRule="auto"/>
              <w:jc w:val="left"/>
            </w:pPr>
            <w:r>
              <w:rPr>
                <w:rFonts w:ascii="Calibri" w:hAnsi="Calibri"/>
                <w:sz w:val="17"/>
              </w:rPr>
              <w:t>Verification approfondie</w:t>
            </w:r>
          </w:p>
        </w:tc>
        <w:tc>
          <w:tcPr>
            <w:tcW w:type="dxa" w:w="2952"/>
            <w:tcMar>
              <w:top w:w="80" w:type="dxa"/>
              <w:start w:w="120" w:type="dxa"/>
              <w:bottom w:w="80" w:type="dxa"/>
              <w:end w:w="120" w:type="dxa"/>
            </w:tcMar>
            <w:vAlign w:val="center"/>
          </w:tcPr>
          <w:p>
            <w:pPr>
              <w:spacing w:after="0" w:line="259" w:lineRule="auto"/>
            </w:pPr>
            <w:r>
              <w:rPr>
                <w:rFonts w:ascii="Calibri" w:hAnsi="Calibri"/>
                <w:sz w:val="17"/>
              </w:rPr>
              <w:t>9 000-18 000 FCFA</w:t>
            </w:r>
          </w:p>
        </w:tc>
        <w:tc>
          <w:tcPr>
            <w:tcW w:type="dxa" w:w="3528"/>
            <w:tcMar>
              <w:top w:w="80" w:type="dxa"/>
              <w:start w:w="120" w:type="dxa"/>
              <w:bottom w:w="80" w:type="dxa"/>
              <w:end w:w="120" w:type="dxa"/>
            </w:tcMar>
            <w:vAlign w:val="center"/>
          </w:tcPr>
          <w:p>
            <w:pPr>
              <w:spacing w:after="0" w:line="259" w:lineRule="auto"/>
            </w:pPr>
            <w:r>
              <w:rPr>
                <w:rFonts w:ascii="Calibri" w:hAnsi="Calibri"/>
                <w:sz w:val="17"/>
              </w:rPr>
              <w:t>Equipement, ONG, acheteur formel, institution</w:t>
            </w:r>
          </w:p>
        </w:tc>
      </w:tr>
    </w:tbl>
    <w:p/>
    <w:p>
      <w:pPr>
        <w:pStyle w:val="Heading1"/>
      </w:pPr>
      <w:r>
        <w:t>6. Plan operationnel 30 jours</w:t>
      </w:r>
    </w:p>
    <w:p>
      <w:pPr>
        <w:pStyle w:val="ListNumber"/>
        <w:spacing w:after="60" w:line="276" w:lineRule="auto"/>
        <w:ind w:left="432" w:hanging="115"/>
      </w:pPr>
      <w:r>
        <w:rPr>
          <w:rFonts w:ascii="Calibri" w:hAnsi="Calibri"/>
          <w:sz w:val="21"/>
        </w:rPr>
        <w:t>Semaine 1: former les agents, choisir deux zones, verifier 30-40 marchands, rencontrer 5-7 partenaires et corriger le script terrain.</w:t>
      </w:r>
    </w:p>
    <w:p>
      <w:pPr>
        <w:pStyle w:val="ListNumber"/>
        <w:spacing w:after="60" w:line="276" w:lineRule="auto"/>
        <w:ind w:left="432" w:hanging="115"/>
      </w:pPr>
      <w:r>
        <w:rPr>
          <w:rFonts w:ascii="Calibri" w:hAnsi="Calibri"/>
          <w:sz w:val="21"/>
        </w:rPr>
        <w:t>Semaine 2: atteindre 90-110 marchands verifies cumules, collecter 400-600 preuves et obtenir les premiers besoins partenaires ecrits.</w:t>
      </w:r>
    </w:p>
    <w:p>
      <w:pPr>
        <w:pStyle w:val="ListNumber"/>
        <w:spacing w:after="60" w:line="276" w:lineRule="auto"/>
        <w:ind w:left="432" w:hanging="115"/>
      </w:pPr>
      <w:r>
        <w:rPr>
          <w:rFonts w:ascii="Calibri" w:hAnsi="Calibri"/>
          <w:sz w:val="21"/>
        </w:rPr>
        <w:t>Semaine 3: atteindre 160-190 verifies, produire un premier rapport partenaire et convertir 2-3 partenaires chauds.</w:t>
      </w:r>
    </w:p>
    <w:p>
      <w:pPr>
        <w:pStyle w:val="ListNumber"/>
        <w:spacing w:after="60" w:line="276" w:lineRule="auto"/>
        <w:ind w:left="432" w:hanging="115"/>
      </w:pPr>
      <w:r>
        <w:rPr>
          <w:rFonts w:ascii="Calibri" w:hAnsi="Calibri"/>
          <w:sz w:val="21"/>
        </w:rPr>
        <w:t>Semaine 4: atteindre 220-260 verifies, fermer le pipeline chaud, viser un paiement/LOI, nettoyer les donnees et preparer le dossier investisseur.</w:t>
      </w:r>
    </w:p>
    <w:p>
      <w:pPr>
        <w:pStyle w:val="ListNumber"/>
        <w:spacing w:after="60" w:line="276" w:lineRule="auto"/>
        <w:ind w:left="432" w:hanging="115"/>
      </w:pPr>
      <w:r>
        <w:rPr>
          <w:rFonts w:ascii="Calibri" w:hAnsi="Calibri"/>
          <w:sz w:val="21"/>
        </w:rPr>
        <w:t>Jours 29-30: verifier consentements, retirer doublons, finaliser le rapport 30 jours et adapter le pitch aux organismes financeurs.</w:t>
      </w:r>
    </w:p>
    <w:tbl>
      <w:tblPr>
        <w:tblW w:type="auto" w:w="0"/>
        <w:jc w:val="center"/>
        <w:tblLayout w:type="fixed"/>
        <w:tblLook w:firstColumn="1" w:firstRow="1" w:lastColumn="0" w:lastRow="0" w:noHBand="0" w:noVBand="1" w:val="04A0"/>
      </w:tblPr>
      <w:tblGrid>
        <w:gridCol w:w="9792"/>
      </w:tblGrid>
      <w:tr>
        <w:tc>
          <w:tcPr>
            <w:tcW w:type="dxa" w:w="9432"/>
            <w:shd w:fill="F4F6F9"/>
            <w:tcMar>
              <w:top w:w="120" w:type="dxa"/>
              <w:start w:w="160" w:type="dxa"/>
              <w:bottom w:w="120" w:type="dxa"/>
              <w:end w:w="160" w:type="dxa"/>
            </w:tcMar>
          </w:tcPr>
          <w:p>
            <w:pPr>
              <w:spacing w:after="40"/>
            </w:pPr>
            <w:r>
              <w:rPr>
                <w:rFonts w:ascii="Calibri" w:hAnsi="Calibri"/>
                <w:b/>
                <w:color w:val="1F4E5F"/>
                <w:sz w:val="21"/>
              </w:rPr>
              <w:t>Principe d'execution</w:t>
            </w:r>
          </w:p>
          <w:p>
            <w:pPr>
              <w:spacing w:after="0" w:line="276" w:lineRule="auto"/>
            </w:pPr>
            <w:r>
              <w:rPr>
                <w:rFonts w:ascii="Calibri" w:hAnsi="Calibri"/>
                <w:color w:val="1F2933"/>
                <w:sz w:val="20"/>
              </w:rPr>
              <w:t>Mieux vaut 220 dossiers propres et partageables que 350 profils inutilisables. Le pilote doit prouver la qualite des donnees et la demande partenaire, pas seulement le volume.</w:t>
            </w:r>
          </w:p>
        </w:tc>
      </w:tr>
    </w:tbl>
    <w:p/>
    <w:p>
      <w:pPr>
        <w:pStyle w:val="Heading1"/>
      </w:pPr>
      <w:r>
        <w:t>7. Besoin de financement</w:t>
      </w:r>
    </w:p>
    <w:p>
      <w:r>
        <w:rPr>
          <w:rFonts w:ascii="Calibri" w:hAnsi="Calibri"/>
        </w:rPr>
        <w:t>Le budget minimum pour executer le pilote 30 jours est estime a 1 952 500 FCFA. La demande recommandee est de 2 500 000 FCFA afin de couvrir les imprevus terrain, la production du rapport final, les adaptations de dossier et les frais administratifs lies a la mobilisation de partenaires.</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2880"/>
            <w:tcMar>
              <w:top w:w="80" w:type="dxa"/>
              <w:start w:w="120" w:type="dxa"/>
              <w:bottom w:w="80" w:type="dxa"/>
              <w:end w:w="120" w:type="dxa"/>
            </w:tcMar>
            <w:vAlign w:val="center"/>
            <w:shd w:fill="F4F6F9"/>
          </w:tcPr>
          <w:p>
            <w:pPr>
              <w:spacing w:after="0"/>
              <w:jc w:val="center"/>
            </w:pPr>
            <w:r>
              <w:rPr>
                <w:rFonts w:ascii="Calibri" w:hAnsi="Calibri"/>
                <w:b/>
                <w:color w:val="1F4E5F"/>
                <w:sz w:val="17"/>
              </w:rPr>
              <w:t>Poste</w:t>
            </w:r>
          </w:p>
        </w:tc>
        <w:tc>
          <w:tcPr>
            <w:tcW w:type="dxa" w:w="1872"/>
            <w:tcMar>
              <w:top w:w="80" w:type="dxa"/>
              <w:start w:w="120" w:type="dxa"/>
              <w:bottom w:w="80" w:type="dxa"/>
              <w:end w:w="120" w:type="dxa"/>
            </w:tcMar>
            <w:vAlign w:val="center"/>
            <w:shd w:fill="F4F6F9"/>
          </w:tcPr>
          <w:p>
            <w:pPr>
              <w:spacing w:after="0"/>
              <w:jc w:val="center"/>
            </w:pPr>
            <w:r>
              <w:rPr>
                <w:rFonts w:ascii="Calibri" w:hAnsi="Calibri"/>
                <w:b/>
                <w:color w:val="1F4E5F"/>
                <w:sz w:val="17"/>
              </w:rPr>
              <w:t>Montant FCFA</w:t>
            </w:r>
          </w:p>
        </w:tc>
        <w:tc>
          <w:tcPr>
            <w:tcW w:type="dxa" w:w="4680"/>
            <w:tcMar>
              <w:top w:w="80" w:type="dxa"/>
              <w:start w:w="120" w:type="dxa"/>
              <w:bottom w:w="80" w:type="dxa"/>
              <w:end w:w="120" w:type="dxa"/>
            </w:tcMar>
            <w:vAlign w:val="center"/>
            <w:shd w:fill="F4F6F9"/>
          </w:tcPr>
          <w:p>
            <w:pPr>
              <w:spacing w:after="0"/>
              <w:jc w:val="center"/>
            </w:pPr>
            <w:r>
              <w:rPr>
                <w:rFonts w:ascii="Calibri" w:hAnsi="Calibri"/>
                <w:b/>
                <w:color w:val="1F4E5F"/>
                <w:sz w:val="17"/>
              </w:rPr>
              <w:t>Justification</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3 agents terrain</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450 000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150 000 FCFA par agent pour 30 jours.</w:t>
            </w:r>
          </w:p>
        </w:tc>
      </w:tr>
      <w:tr>
        <w:tc>
          <w:tcPr>
            <w:tcW w:type="dxa" w:w="2880"/>
            <w:tcMar>
              <w:top w:w="80" w:type="dxa"/>
              <w:start w:w="120" w:type="dxa"/>
              <w:bottom w:w="80" w:type="dxa"/>
              <w:end w:w="120" w:type="dxa"/>
            </w:tcMar>
            <w:vAlign w:val="center"/>
          </w:tcPr>
          <w:p>
            <w:pPr>
              <w:spacing w:after="0" w:line="259" w:lineRule="auto"/>
            </w:pPr>
            <w:r>
              <w:rPr>
                <w:rFonts w:ascii="Calibri" w:hAnsi="Calibri"/>
                <w:sz w:val="17"/>
              </w:rPr>
              <w:t>Responsable terrain/back-office</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250 000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Coordination locale, qualite, reporting WhatsApp quotidien.</w:t>
            </w:r>
          </w:p>
        </w:tc>
      </w:tr>
      <w:tr>
        <w:tc>
          <w:tcPr>
            <w:tcW w:type="dxa" w:w="2880"/>
            <w:tcMar>
              <w:top w:w="80" w:type="dxa"/>
              <w:start w:w="120" w:type="dxa"/>
              <w:bottom w:w="80" w:type="dxa"/>
              <w:end w:w="120" w:type="dxa"/>
            </w:tcMar>
            <w:vAlign w:val="center"/>
          </w:tcPr>
          <w:p>
            <w:pPr>
              <w:spacing w:after="0" w:line="259" w:lineRule="auto"/>
            </w:pPr>
            <w:r>
              <w:rPr>
                <w:rFonts w:ascii="Calibri" w:hAnsi="Calibri"/>
                <w:sz w:val="17"/>
              </w:rPr>
              <w:t>Transport terrain/partenaires</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240 000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Visites marches, partenaires, impressions, coordination.</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Telephone/data</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100 000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3 agents + responsable terrain.</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Impressions QR/cartes</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75 000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300 cartes/stickers pilotes.</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Reunions associations</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250 000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Autorisations terrain, leaders de marche, rencontres partenaires.</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Design/assets Deggal</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150 000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Cartes, passeport, support partenaire.</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Outils no-code</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60 000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Kobo/Airtable/Google Workspace ou equivalent.</w:t>
            </w:r>
          </w:p>
        </w:tc>
      </w:tr>
      <w:tr>
        <w:tc>
          <w:tcPr>
            <w:tcW w:type="dxa" w:w="2880"/>
            <w:tcMar>
              <w:top w:w="80" w:type="dxa"/>
              <w:start w:w="120" w:type="dxa"/>
              <w:bottom w:w="80" w:type="dxa"/>
              <w:end w:w="120" w:type="dxa"/>
            </w:tcMar>
            <w:vAlign w:val="center"/>
          </w:tcPr>
          <w:p>
            <w:pPr>
              <w:spacing w:after="0" w:line="259" w:lineRule="auto"/>
            </w:pPr>
            <w:r>
              <w:rPr>
                <w:rFonts w:ascii="Calibri" w:hAnsi="Calibri"/>
                <w:sz w:val="17"/>
              </w:rPr>
              <w:t>Revue juridique/vie privee</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200 000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Consentement, donnees personnelles, partage partenaire.</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Reserve 10%</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177 500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Rattrapage, pluie, imprévus terrain.</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Total minimum</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1 952 500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Budget direct du pilote.</w:t>
            </w:r>
          </w:p>
        </w:tc>
      </w:tr>
      <w:tr>
        <w:tc>
          <w:tcPr>
            <w:tcW w:type="dxa" w:w="2880"/>
            <w:tcMar>
              <w:top w:w="80" w:type="dxa"/>
              <w:start w:w="120" w:type="dxa"/>
              <w:bottom w:w="80" w:type="dxa"/>
              <w:end w:w="120" w:type="dxa"/>
            </w:tcMar>
            <w:vAlign w:val="center"/>
          </w:tcPr>
          <w:p>
            <w:pPr>
              <w:spacing w:after="0" w:line="259" w:lineRule="auto"/>
              <w:jc w:val="left"/>
            </w:pPr>
            <w:r>
              <w:rPr>
                <w:rFonts w:ascii="Calibri" w:hAnsi="Calibri"/>
                <w:sz w:val="17"/>
              </w:rPr>
              <w:t>Demande recommandee</w:t>
            </w:r>
          </w:p>
        </w:tc>
        <w:tc>
          <w:tcPr>
            <w:tcW w:type="dxa" w:w="1872"/>
            <w:tcMar>
              <w:top w:w="80" w:type="dxa"/>
              <w:start w:w="120" w:type="dxa"/>
              <w:bottom w:w="80" w:type="dxa"/>
              <w:end w:w="120" w:type="dxa"/>
            </w:tcMar>
            <w:vAlign w:val="center"/>
          </w:tcPr>
          <w:p>
            <w:pPr>
              <w:spacing w:after="0" w:line="259" w:lineRule="auto"/>
            </w:pPr>
            <w:r>
              <w:rPr>
                <w:rFonts w:ascii="Calibri" w:hAnsi="Calibri"/>
                <w:sz w:val="17"/>
              </w:rPr>
              <w:t>2 500 000</w:t>
            </w:r>
          </w:p>
        </w:tc>
        <w:tc>
          <w:tcPr>
            <w:tcW w:type="dxa" w:w="4680"/>
            <w:tcMar>
              <w:top w:w="80" w:type="dxa"/>
              <w:start w:w="120" w:type="dxa"/>
              <w:bottom w:w="80" w:type="dxa"/>
              <w:end w:w="120" w:type="dxa"/>
            </w:tcMar>
            <w:vAlign w:val="center"/>
          </w:tcPr>
          <w:p>
            <w:pPr>
              <w:spacing w:after="0" w:line="259" w:lineRule="auto"/>
            </w:pPr>
            <w:r>
              <w:rPr>
                <w:rFonts w:ascii="Calibri" w:hAnsi="Calibri"/>
                <w:sz w:val="17"/>
              </w:rPr>
              <w:t>Minimum + marge execution/reporting/dossier financeur.</w:t>
            </w:r>
          </w:p>
        </w:tc>
      </w:tr>
    </w:tbl>
    <w:p/>
    <w:p>
      <w:pPr>
        <w:pStyle w:val="Heading1"/>
      </w:pPr>
      <w:r>
        <w:t>8. Ce que l'organisme financeur obtient</w:t>
      </w:r>
    </w:p>
    <w:p>
      <w:pPr>
        <w:pStyle w:val="ListBullet"/>
        <w:spacing w:after="60" w:line="276" w:lineRule="auto"/>
        <w:ind w:left="403" w:hanging="144"/>
      </w:pPr>
      <w:r>
        <w:rPr>
          <w:rFonts w:ascii="Calibri" w:hAnsi="Calibri"/>
          <w:sz w:val="21"/>
        </w:rPr>
        <w:t>Un pilote mesurable avec indicateurs hebdomadaires, pas une idee vague.</w:t>
      </w:r>
    </w:p>
    <w:p>
      <w:pPr>
        <w:pStyle w:val="ListBullet"/>
        <w:spacing w:after="60" w:line="276" w:lineRule="auto"/>
        <w:ind w:left="403" w:hanging="144"/>
      </w:pPr>
      <w:r>
        <w:rPr>
          <w:rFonts w:ascii="Calibri" w:hAnsi="Calibri"/>
          <w:sz w:val="21"/>
        </w:rPr>
        <w:t>Un rapport final montrant marchands verifies, preuves collectees, partenaires rencontres, besoins terrain et prochaines etapes.</w:t>
      </w:r>
    </w:p>
    <w:p>
      <w:pPr>
        <w:pStyle w:val="ListBullet"/>
        <w:spacing w:after="60" w:line="276" w:lineRule="auto"/>
        <w:ind w:left="403" w:hanging="144"/>
      </w:pPr>
      <w:r>
        <w:rPr>
          <w:rFonts w:ascii="Calibri" w:hAnsi="Calibri"/>
          <w:sz w:val="21"/>
        </w:rPr>
        <w:t>Une solution d'inclusion economique qui commence par la preuve et la confiance, pas par un pret.</w:t>
      </w:r>
    </w:p>
    <w:p>
      <w:pPr>
        <w:pStyle w:val="ListBullet"/>
        <w:spacing w:after="60" w:line="276" w:lineRule="auto"/>
        <w:ind w:left="403" w:hanging="144"/>
      </w:pPr>
      <w:r>
        <w:rPr>
          <w:rFonts w:ascii="Calibri" w:hAnsi="Calibri"/>
          <w:sz w:val="21"/>
        </w:rPr>
        <w:t>Une base de donnees consentie et filtree qui peut aider des programmes a mieux cibler les vrais actifs du secteur informel.</w:t>
      </w:r>
    </w:p>
    <w:p>
      <w:pPr>
        <w:pStyle w:val="ListBullet"/>
        <w:spacing w:after="60" w:line="276" w:lineRule="auto"/>
        <w:ind w:left="403" w:hanging="144"/>
      </w:pPr>
      <w:r>
        <w:rPr>
          <w:rFonts w:ascii="Calibri" w:hAnsi="Calibri"/>
          <w:sz w:val="21"/>
        </w:rPr>
        <w:t>Une opportunite de soutenir l'emploi direct de 3 agents terrain et d'un responsable local pendant le pilote.</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2232"/>
            <w:tcMar>
              <w:top w:w="80" w:type="dxa"/>
              <w:start w:w="120" w:type="dxa"/>
              <w:bottom w:w="80" w:type="dxa"/>
              <w:end w:w="120" w:type="dxa"/>
            </w:tcMar>
            <w:vAlign w:val="center"/>
            <w:shd w:fill="F4F6F9"/>
          </w:tcPr>
          <w:p>
            <w:pPr>
              <w:spacing w:after="0"/>
              <w:jc w:val="center"/>
            </w:pPr>
            <w:r>
              <w:rPr>
                <w:rFonts w:ascii="Calibri" w:hAnsi="Calibri"/>
                <w:b/>
                <w:color w:val="1F4E5F"/>
                <w:sz w:val="17"/>
              </w:rPr>
              <w:t>Type d'organisme</w:t>
            </w:r>
          </w:p>
        </w:tc>
        <w:tc>
          <w:tcPr>
            <w:tcW w:type="dxa" w:w="4320"/>
            <w:tcMar>
              <w:top w:w="80" w:type="dxa"/>
              <w:start w:w="120" w:type="dxa"/>
              <w:bottom w:w="80" w:type="dxa"/>
              <w:end w:w="120" w:type="dxa"/>
            </w:tcMar>
            <w:vAlign w:val="center"/>
            <w:shd w:fill="F4F6F9"/>
          </w:tcPr>
          <w:p>
            <w:pPr>
              <w:spacing w:after="0"/>
              <w:jc w:val="center"/>
            </w:pPr>
            <w:r>
              <w:rPr>
                <w:rFonts w:ascii="Calibri" w:hAnsi="Calibri"/>
                <w:b/>
                <w:color w:val="1F4E5F"/>
                <w:sz w:val="17"/>
              </w:rPr>
              <w:t>Pourquoi Deggal est pertinent</w:t>
            </w:r>
          </w:p>
        </w:tc>
        <w:tc>
          <w:tcPr>
            <w:tcW w:type="dxa" w:w="2880"/>
            <w:tcMar>
              <w:top w:w="80" w:type="dxa"/>
              <w:start w:w="120" w:type="dxa"/>
              <w:bottom w:w="80" w:type="dxa"/>
              <w:end w:w="120" w:type="dxa"/>
            </w:tcMar>
            <w:vAlign w:val="center"/>
            <w:shd w:fill="F4F6F9"/>
          </w:tcPr>
          <w:p>
            <w:pPr>
              <w:spacing w:after="0"/>
              <w:jc w:val="center"/>
            </w:pPr>
            <w:r>
              <w:rPr>
                <w:rFonts w:ascii="Calibri" w:hAnsi="Calibri"/>
                <w:b/>
                <w:color w:val="1F4E5F"/>
                <w:sz w:val="17"/>
              </w:rPr>
              <w:t>Demande a formuler</w:t>
            </w:r>
          </w:p>
        </w:tc>
      </w:tr>
      <w:tr>
        <w:tc>
          <w:tcPr>
            <w:tcW w:type="dxa" w:w="2232"/>
            <w:tcMar>
              <w:top w:w="80" w:type="dxa"/>
              <w:start w:w="120" w:type="dxa"/>
              <w:bottom w:w="80" w:type="dxa"/>
              <w:end w:w="120" w:type="dxa"/>
            </w:tcMar>
            <w:vAlign w:val="center"/>
          </w:tcPr>
          <w:p>
            <w:pPr>
              <w:spacing w:after="0" w:line="259" w:lineRule="auto"/>
            </w:pPr>
            <w:r>
              <w:rPr>
                <w:rFonts w:ascii="Calibri" w:hAnsi="Calibri"/>
                <w:sz w:val="17"/>
              </w:rPr>
              <w:t>DER/FJ, ADEPME, programmes publics</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Inclusion economique, auto-emploi, formalisation progressive, donnees terrain.</w:t>
            </w:r>
          </w:p>
        </w:tc>
        <w:tc>
          <w:tcPr>
            <w:tcW w:type="dxa" w:w="2880"/>
            <w:tcMar>
              <w:top w:w="80" w:type="dxa"/>
              <w:start w:w="120" w:type="dxa"/>
              <w:bottom w:w="80" w:type="dxa"/>
              <w:end w:w="120" w:type="dxa"/>
            </w:tcMar>
            <w:vAlign w:val="center"/>
          </w:tcPr>
          <w:p>
            <w:pPr>
              <w:spacing w:after="0" w:line="259" w:lineRule="auto"/>
            </w:pPr>
            <w:r>
              <w:rPr>
                <w:rFonts w:ascii="Calibri" w:hAnsi="Calibri"/>
                <w:sz w:val="17"/>
              </w:rPr>
              <w:t>Subvention pilote + introductions terrain.</w:t>
            </w:r>
          </w:p>
        </w:tc>
      </w:tr>
      <w:tr>
        <w:tc>
          <w:tcPr>
            <w:tcW w:type="dxa" w:w="2232"/>
            <w:tcMar>
              <w:top w:w="80" w:type="dxa"/>
              <w:start w:w="120" w:type="dxa"/>
              <w:bottom w:w="80" w:type="dxa"/>
              <w:end w:w="120" w:type="dxa"/>
            </w:tcMar>
            <w:vAlign w:val="center"/>
          </w:tcPr>
          <w:p>
            <w:pPr>
              <w:spacing w:after="0" w:line="259" w:lineRule="auto"/>
              <w:jc w:val="left"/>
            </w:pPr>
            <w:r>
              <w:rPr>
                <w:rFonts w:ascii="Calibri" w:hAnsi="Calibri"/>
                <w:sz w:val="17"/>
              </w:rPr>
              <w:t>Incubateurs</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Startup a impact avec MVP terrain, modele B2B et donnees validables.</w:t>
            </w:r>
          </w:p>
        </w:tc>
        <w:tc>
          <w:tcPr>
            <w:tcW w:type="dxa" w:w="2880"/>
            <w:tcMar>
              <w:top w:w="80" w:type="dxa"/>
              <w:start w:w="120" w:type="dxa"/>
              <w:bottom w:w="80" w:type="dxa"/>
              <w:end w:w="120" w:type="dxa"/>
            </w:tcMar>
            <w:vAlign w:val="center"/>
          </w:tcPr>
          <w:p>
            <w:pPr>
              <w:spacing w:after="0" w:line="259" w:lineRule="auto"/>
            </w:pPr>
            <w:r>
              <w:rPr>
                <w:rFonts w:ascii="Calibri" w:hAnsi="Calibri"/>
                <w:sz w:val="17"/>
              </w:rPr>
              <w:t>Incubation + petit financement + mentorat produit/data.</w:t>
            </w:r>
          </w:p>
        </w:tc>
      </w:tr>
      <w:tr>
        <w:tc>
          <w:tcPr>
            <w:tcW w:type="dxa" w:w="2232"/>
            <w:tcMar>
              <w:top w:w="80" w:type="dxa"/>
              <w:start w:w="120" w:type="dxa"/>
              <w:bottom w:w="80" w:type="dxa"/>
              <w:end w:w="120" w:type="dxa"/>
            </w:tcMar>
            <w:vAlign w:val="center"/>
          </w:tcPr>
          <w:p>
            <w:pPr>
              <w:spacing w:after="0" w:line="259" w:lineRule="auto"/>
              <w:jc w:val="left"/>
            </w:pPr>
            <w:r>
              <w:rPr>
                <w:rFonts w:ascii="Calibri" w:hAnsi="Calibri"/>
                <w:sz w:val="17"/>
              </w:rPr>
              <w:t>ONG/fondations</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Verification beneficiaires, reduction des faux dossiers, meilleur ciblage.</w:t>
            </w:r>
          </w:p>
        </w:tc>
        <w:tc>
          <w:tcPr>
            <w:tcW w:type="dxa" w:w="2880"/>
            <w:tcMar>
              <w:top w:w="80" w:type="dxa"/>
              <w:start w:w="120" w:type="dxa"/>
              <w:bottom w:w="80" w:type="dxa"/>
              <w:end w:w="120" w:type="dxa"/>
            </w:tcMar>
            <w:vAlign w:val="center"/>
          </w:tcPr>
          <w:p>
            <w:pPr>
              <w:spacing w:after="0" w:line="259" w:lineRule="auto"/>
            </w:pPr>
            <w:r>
              <w:rPr>
                <w:rFonts w:ascii="Calibri" w:hAnsi="Calibri"/>
                <w:sz w:val="17"/>
              </w:rPr>
              <w:t>Financer une campagne test avec rapport d'impact.</w:t>
            </w:r>
          </w:p>
        </w:tc>
      </w:tr>
      <w:tr>
        <w:tc>
          <w:tcPr>
            <w:tcW w:type="dxa" w:w="2232"/>
            <w:tcMar>
              <w:top w:w="80" w:type="dxa"/>
              <w:start w:w="120" w:type="dxa"/>
              <w:bottom w:w="80" w:type="dxa"/>
              <w:end w:w="120" w:type="dxa"/>
            </w:tcMar>
            <w:vAlign w:val="center"/>
          </w:tcPr>
          <w:p>
            <w:pPr>
              <w:spacing w:after="0" w:line="259" w:lineRule="auto"/>
              <w:jc w:val="left"/>
            </w:pPr>
            <w:r>
              <w:rPr>
                <w:rFonts w:ascii="Calibri" w:hAnsi="Calibri"/>
                <w:sz w:val="17"/>
              </w:rPr>
              <w:t>Fournisseurs/corporates</w:t>
            </w:r>
          </w:p>
        </w:tc>
        <w:tc>
          <w:tcPr>
            <w:tcW w:type="dxa" w:w="4320"/>
            <w:tcMar>
              <w:top w:w="80" w:type="dxa"/>
              <w:start w:w="120" w:type="dxa"/>
              <w:bottom w:w="80" w:type="dxa"/>
              <w:end w:w="120" w:type="dxa"/>
            </w:tcMar>
            <w:vAlign w:val="center"/>
          </w:tcPr>
          <w:p>
            <w:pPr>
              <w:spacing w:after="0" w:line="259" w:lineRule="auto"/>
            </w:pPr>
            <w:r>
              <w:rPr>
                <w:rFonts w:ascii="Calibri" w:hAnsi="Calibri"/>
                <w:sz w:val="17"/>
              </w:rPr>
              <w:t>Trouver des revendeurs fiables et mesurer une demande commerciale.</w:t>
            </w:r>
          </w:p>
        </w:tc>
        <w:tc>
          <w:tcPr>
            <w:tcW w:type="dxa" w:w="2880"/>
            <w:tcMar>
              <w:top w:w="80" w:type="dxa"/>
              <w:start w:w="120" w:type="dxa"/>
              <w:bottom w:w="80" w:type="dxa"/>
              <w:end w:w="120" w:type="dxa"/>
            </w:tcMar>
            <w:vAlign w:val="center"/>
          </w:tcPr>
          <w:p>
            <w:pPr>
              <w:spacing w:after="0" w:line="259" w:lineRule="auto"/>
            </w:pPr>
            <w:r>
              <w:rPr>
                <w:rFonts w:ascii="Calibri" w:hAnsi="Calibri"/>
                <w:sz w:val="17"/>
              </w:rPr>
              <w:t>Pilote payant 50-100 marchands.</w:t>
            </w:r>
          </w:p>
        </w:tc>
      </w:tr>
    </w:tbl>
    <w:p/>
    <w:p>
      <w:pPr>
        <w:pStyle w:val="Heading1"/>
      </w:pPr>
      <w:r>
        <w:t>9. Gouvernance, donnees et limites ethique</w:t>
      </w:r>
    </w:p>
    <w:p>
      <w:r>
        <w:rPr>
          <w:rFonts w:ascii="Calibri" w:hAnsi="Calibri"/>
        </w:rPr>
        <w:t>Deggal doit etre strict sur les limites operationnelles. Le projet vend une verification controlee, pas les donnees personnelles des marchands. Les preuves brutes restent internes; le partenaire recoit seulement une vue filtree, limitee et consentie.</w:t>
      </w:r>
    </w:p>
    <w:p>
      <w:pPr>
        <w:pStyle w:val="ListBullet"/>
        <w:spacing w:after="60" w:line="276" w:lineRule="auto"/>
        <w:ind w:left="403" w:hanging="144"/>
      </w:pPr>
      <w:r>
        <w:rPr>
          <w:rFonts w:ascii="Calibri" w:hAnsi="Calibri"/>
          <w:sz w:val="21"/>
        </w:rPr>
        <w:t>Ne jamais demander PIN, mot de passe, code mobile money, carte bancaire ou acces complet au telephone.</w:t>
      </w:r>
    </w:p>
    <w:p>
      <w:pPr>
        <w:pStyle w:val="ListBullet"/>
        <w:spacing w:after="60" w:line="276" w:lineRule="auto"/>
        <w:ind w:left="403" w:hanging="144"/>
      </w:pPr>
      <w:r>
        <w:rPr>
          <w:rFonts w:ascii="Calibri" w:hAnsi="Calibri"/>
          <w:sz w:val="21"/>
        </w:rPr>
        <w:t>Ne jamais enregistrer en cachette; l'audio demande un consentement clair.</w:t>
      </w:r>
    </w:p>
    <w:p>
      <w:pPr>
        <w:pStyle w:val="ListBullet"/>
        <w:spacing w:after="60" w:line="276" w:lineRule="auto"/>
        <w:ind w:left="403" w:hanging="144"/>
      </w:pPr>
      <w:r>
        <w:rPr>
          <w:rFonts w:ascii="Calibri" w:hAnsi="Calibri"/>
          <w:sz w:val="21"/>
        </w:rPr>
        <w:t>Ne jamais promettre pret, subvention, emploi, equipement, client ou selection.</w:t>
      </w:r>
    </w:p>
    <w:p>
      <w:pPr>
        <w:pStyle w:val="ListBullet"/>
        <w:spacing w:after="60" w:line="276" w:lineRule="auto"/>
        <w:ind w:left="403" w:hanging="144"/>
      </w:pPr>
      <w:r>
        <w:rPr>
          <w:rFonts w:ascii="Calibri" w:hAnsi="Calibri"/>
          <w:sz w:val="21"/>
        </w:rPr>
        <w:t>Ne jamais partager le dossier brut avec un partenaire.</w:t>
      </w:r>
    </w:p>
    <w:p>
      <w:pPr>
        <w:pStyle w:val="ListBullet"/>
        <w:spacing w:after="60" w:line="276" w:lineRule="auto"/>
        <w:ind w:left="403" w:hanging="144"/>
      </w:pPr>
      <w:r>
        <w:rPr>
          <w:rFonts w:ascii="Calibri" w:hAnsi="Calibri"/>
          <w:sz w:val="21"/>
        </w:rPr>
        <w:t>Retirer ou bloquer un profil si le marchand demande de ne plus etre partage.</w:t>
      </w:r>
    </w:p>
    <w:p>
      <w:pPr>
        <w:pStyle w:val="ListBullet"/>
        <w:spacing w:after="60" w:line="276" w:lineRule="auto"/>
        <w:ind w:left="403" w:hanging="144"/>
      </w:pPr>
      <w:r>
        <w:rPr>
          <w:rFonts w:ascii="Calibri" w:hAnsi="Calibri"/>
          <w:sz w:val="21"/>
        </w:rPr>
        <w:t>Separer les faits verifies, les hypotheses et les decisions des partenaires.</w:t>
      </w:r>
    </w:p>
    <w:p>
      <w:r>
        <w:br w:type="page"/>
      </w:r>
    </w:p>
    <w:p>
      <w:pPr>
        <w:pStyle w:val="Heading1"/>
      </w:pPr>
      <w:r>
        <w:t>10. Risques et mitigation</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3024"/>
            <w:tcMar>
              <w:top w:w="80" w:type="dxa"/>
              <w:start w:w="120" w:type="dxa"/>
              <w:bottom w:w="80" w:type="dxa"/>
              <w:end w:w="120" w:type="dxa"/>
            </w:tcMar>
            <w:vAlign w:val="center"/>
            <w:shd w:fill="F4F6F9"/>
          </w:tcPr>
          <w:p>
            <w:pPr>
              <w:spacing w:after="0"/>
              <w:jc w:val="center"/>
            </w:pPr>
            <w:r>
              <w:rPr>
                <w:rFonts w:ascii="Calibri" w:hAnsi="Calibri"/>
                <w:b/>
                <w:color w:val="1F4E5F"/>
                <w:sz w:val="17"/>
              </w:rPr>
              <w:t>Risque</w:t>
            </w:r>
          </w:p>
        </w:tc>
        <w:tc>
          <w:tcPr>
            <w:tcW w:type="dxa" w:w="1224"/>
            <w:tcMar>
              <w:top w:w="80" w:type="dxa"/>
              <w:start w:w="120" w:type="dxa"/>
              <w:bottom w:w="80" w:type="dxa"/>
              <w:end w:w="120" w:type="dxa"/>
            </w:tcMar>
            <w:vAlign w:val="center"/>
            <w:shd w:fill="F4F6F9"/>
          </w:tcPr>
          <w:p>
            <w:pPr>
              <w:spacing w:after="0"/>
              <w:jc w:val="center"/>
            </w:pPr>
            <w:r>
              <w:rPr>
                <w:rFonts w:ascii="Calibri" w:hAnsi="Calibri"/>
                <w:b/>
                <w:color w:val="1F4E5F"/>
                <w:sz w:val="17"/>
              </w:rPr>
              <w:t>Niveau</w:t>
            </w:r>
          </w:p>
        </w:tc>
        <w:tc>
          <w:tcPr>
            <w:tcW w:type="dxa" w:w="5184"/>
            <w:tcMar>
              <w:top w:w="80" w:type="dxa"/>
              <w:start w:w="120" w:type="dxa"/>
              <w:bottom w:w="80" w:type="dxa"/>
              <w:end w:w="120" w:type="dxa"/>
            </w:tcMar>
            <w:vAlign w:val="center"/>
            <w:shd w:fill="F4F6F9"/>
          </w:tcPr>
          <w:p>
            <w:pPr>
              <w:spacing w:after="0"/>
              <w:jc w:val="center"/>
            </w:pPr>
            <w:r>
              <w:rPr>
                <w:rFonts w:ascii="Calibri" w:hAnsi="Calibri"/>
                <w:b/>
                <w:color w:val="1F4E5F"/>
                <w:sz w:val="17"/>
              </w:rPr>
              <w:t>Mitigation</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Les marchands refusent ou ne comprennent pas</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Eleve</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Experience orale, phrase simple, pas d'application, agent forme, refus respecte.</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Donnees sensibles mal partagees</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Eleve</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Vue filtree, email nomme, expiration, journal de partage, consentement.</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Partenaires interesses mais non payants</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Moyen</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Demander besoin et prix des la premiere conversation; viser un paiement/LOI avant jour 30.</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Dossiers de mauvaise qualite</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Eleve</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Controle back-office quotidien, preuves minimales, alertes et doublons.</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Confusion avec pret/financement</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Eleve</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Messaging clair: Deggal est une couche de preuve, pas un preteur.</w:t>
            </w:r>
          </w:p>
        </w:tc>
      </w:tr>
      <w:tr>
        <w:tc>
          <w:tcPr>
            <w:tcW w:type="dxa" w:w="3024"/>
            <w:tcMar>
              <w:top w:w="80" w:type="dxa"/>
              <w:start w:w="120" w:type="dxa"/>
              <w:bottom w:w="80" w:type="dxa"/>
              <w:end w:w="120" w:type="dxa"/>
            </w:tcMar>
            <w:vAlign w:val="center"/>
          </w:tcPr>
          <w:p>
            <w:pPr>
              <w:spacing w:after="0" w:line="259" w:lineRule="auto"/>
            </w:pPr>
            <w:r>
              <w:rPr>
                <w:rFonts w:ascii="Calibri" w:hAnsi="Calibri"/>
                <w:sz w:val="17"/>
              </w:rPr>
              <w:t>Conflit marchand + partenaire</w:t>
            </w:r>
          </w:p>
        </w:tc>
        <w:tc>
          <w:tcPr>
            <w:tcW w:type="dxa" w:w="1224"/>
            <w:tcMar>
              <w:top w:w="80" w:type="dxa"/>
              <w:start w:w="120" w:type="dxa"/>
              <w:bottom w:w="80" w:type="dxa"/>
              <w:end w:w="120" w:type="dxa"/>
            </w:tcMar>
            <w:vAlign w:val="center"/>
          </w:tcPr>
          <w:p>
            <w:pPr>
              <w:spacing w:after="0" w:line="259" w:lineRule="auto"/>
            </w:pPr>
            <w:r>
              <w:rPr>
                <w:rFonts w:ascii="Calibri" w:hAnsi="Calibri"/>
                <w:sz w:val="17"/>
              </w:rPr>
              <w:t>Moyen</w:t>
            </w:r>
          </w:p>
        </w:tc>
        <w:tc>
          <w:tcPr>
            <w:tcW w:type="dxa" w:w="5184"/>
            <w:tcMar>
              <w:top w:w="80" w:type="dxa"/>
              <w:start w:w="120" w:type="dxa"/>
              <w:bottom w:w="80" w:type="dxa"/>
              <w:end w:w="120" w:type="dxa"/>
            </w:tcMar>
            <w:vAlign w:val="center"/>
          </w:tcPr>
          <w:p>
            <w:pPr>
              <w:spacing w:after="0" w:line="259" w:lineRule="auto"/>
            </w:pPr>
            <w:r>
              <w:rPr>
                <w:rFonts w:ascii="Calibri" w:hAnsi="Calibri"/>
                <w:sz w:val="17"/>
              </w:rPr>
              <w:t>Deux IDs separes; acces a d'autres profils seulement via inscription partenaire et consentement.</w:t>
            </w:r>
          </w:p>
        </w:tc>
      </w:tr>
    </w:tbl>
    <w:p/>
    <w:p>
      <w:pPr>
        <w:pStyle w:val="Heading1"/>
      </w:pPr>
      <w:r>
        <w:t>11. Projection apres le pilote</w:t>
      </w:r>
    </w:p>
    <w:tbl>
      <w:tblPr>
        <w:tblStyle w:val="TableGrid"/>
        <w:tblW w:type="auto" w:w="0"/>
        <w:jc w:val="center"/>
        <w:tblLayout w:type="fixed"/>
        <w:tblLook w:firstColumn="1" w:firstRow="1" w:lastColumn="0" w:lastRow="0" w:noHBand="0" w:noVBand="1" w:val="04A0"/>
      </w:tblPr>
      <w:tblGrid>
        <w:gridCol w:w="3264"/>
        <w:gridCol w:w="3264"/>
        <w:gridCol w:w="3264"/>
      </w:tblGrid>
      <w:tr>
        <w:tc>
          <w:tcPr>
            <w:tcW w:type="dxa" w:w="1656"/>
            <w:tcMar>
              <w:top w:w="80" w:type="dxa"/>
              <w:start w:w="120" w:type="dxa"/>
              <w:bottom w:w="80" w:type="dxa"/>
              <w:end w:w="120" w:type="dxa"/>
            </w:tcMar>
            <w:vAlign w:val="center"/>
            <w:shd w:fill="F4F6F9"/>
          </w:tcPr>
          <w:p>
            <w:pPr>
              <w:spacing w:after="0"/>
              <w:jc w:val="center"/>
            </w:pPr>
            <w:r>
              <w:rPr>
                <w:rFonts w:ascii="Calibri" w:hAnsi="Calibri"/>
                <w:b/>
                <w:color w:val="1F4E5F"/>
                <w:sz w:val="17"/>
              </w:rPr>
              <w:t>Horizon</w:t>
            </w:r>
          </w:p>
        </w:tc>
        <w:tc>
          <w:tcPr>
            <w:tcW w:type="dxa" w:w="4032"/>
            <w:tcMar>
              <w:top w:w="80" w:type="dxa"/>
              <w:start w:w="120" w:type="dxa"/>
              <w:bottom w:w="80" w:type="dxa"/>
              <w:end w:w="120" w:type="dxa"/>
            </w:tcMar>
            <w:vAlign w:val="center"/>
            <w:shd w:fill="F4F6F9"/>
          </w:tcPr>
          <w:p>
            <w:pPr>
              <w:spacing w:after="0"/>
              <w:jc w:val="center"/>
            </w:pPr>
            <w:r>
              <w:rPr>
                <w:rFonts w:ascii="Calibri" w:hAnsi="Calibri"/>
                <w:b/>
                <w:color w:val="1F4E5F"/>
                <w:sz w:val="17"/>
              </w:rPr>
              <w:t>Objectif</w:t>
            </w:r>
          </w:p>
        </w:tc>
        <w:tc>
          <w:tcPr>
            <w:tcW w:type="dxa" w:w="3744"/>
            <w:tcMar>
              <w:top w:w="80" w:type="dxa"/>
              <w:start w:w="120" w:type="dxa"/>
              <w:bottom w:w="80" w:type="dxa"/>
              <w:end w:w="120" w:type="dxa"/>
            </w:tcMar>
            <w:vAlign w:val="center"/>
            <w:shd w:fill="F4F6F9"/>
          </w:tcPr>
          <w:p>
            <w:pPr>
              <w:spacing w:after="0"/>
              <w:jc w:val="center"/>
            </w:pPr>
            <w:r>
              <w:rPr>
                <w:rFonts w:ascii="Calibri" w:hAnsi="Calibri"/>
                <w:b/>
                <w:color w:val="1F4E5F"/>
                <w:sz w:val="17"/>
              </w:rPr>
              <w:t>Preuve a obtenir</w:t>
            </w:r>
          </w:p>
        </w:tc>
      </w:tr>
      <w:tr>
        <w:tc>
          <w:tcPr>
            <w:tcW w:type="dxa" w:w="1656"/>
            <w:tcMar>
              <w:top w:w="80" w:type="dxa"/>
              <w:start w:w="120" w:type="dxa"/>
              <w:bottom w:w="80" w:type="dxa"/>
              <w:end w:w="120" w:type="dxa"/>
            </w:tcMar>
            <w:vAlign w:val="center"/>
          </w:tcPr>
          <w:p>
            <w:pPr>
              <w:spacing w:after="0" w:line="259" w:lineRule="auto"/>
              <w:jc w:val="left"/>
            </w:pPr>
            <w:r>
              <w:rPr>
                <w:rFonts w:ascii="Calibri" w:hAnsi="Calibri"/>
                <w:sz w:val="17"/>
              </w:rPr>
              <w:t>30 jours</w:t>
            </w:r>
          </w:p>
        </w:tc>
        <w:tc>
          <w:tcPr>
            <w:tcW w:type="dxa" w:w="4032"/>
            <w:tcMar>
              <w:top w:w="80" w:type="dxa"/>
              <w:start w:w="120" w:type="dxa"/>
              <w:bottom w:w="80" w:type="dxa"/>
              <w:end w:w="120" w:type="dxa"/>
            </w:tcMar>
            <w:vAlign w:val="center"/>
          </w:tcPr>
          <w:p>
            <w:pPr>
              <w:spacing w:after="0" w:line="259" w:lineRule="auto"/>
            </w:pPr>
            <w:r>
              <w:rPr>
                <w:rFonts w:ascii="Calibri" w:hAnsi="Calibri"/>
                <w:sz w:val="17"/>
              </w:rPr>
              <w:t>200-300 marchands verifies; 20-30 partenaires rencontres; 1 paiement/LOI.</w:t>
            </w:r>
          </w:p>
        </w:tc>
        <w:tc>
          <w:tcPr>
            <w:tcW w:type="dxa" w:w="3744"/>
            <w:tcMar>
              <w:top w:w="80" w:type="dxa"/>
              <w:start w:w="120" w:type="dxa"/>
              <w:bottom w:w="80" w:type="dxa"/>
              <w:end w:w="120" w:type="dxa"/>
            </w:tcMar>
            <w:vAlign w:val="center"/>
          </w:tcPr>
          <w:p>
            <w:pPr>
              <w:spacing w:after="0" w:line="259" w:lineRule="auto"/>
            </w:pPr>
            <w:r>
              <w:rPr>
                <w:rFonts w:ascii="Calibri" w:hAnsi="Calibri"/>
                <w:sz w:val="17"/>
              </w:rPr>
              <w:t>Rapport pilote + base de profils partageables.</w:t>
            </w:r>
          </w:p>
        </w:tc>
      </w:tr>
      <w:tr>
        <w:tc>
          <w:tcPr>
            <w:tcW w:type="dxa" w:w="1656"/>
            <w:tcMar>
              <w:top w:w="80" w:type="dxa"/>
              <w:start w:w="120" w:type="dxa"/>
              <w:bottom w:w="80" w:type="dxa"/>
              <w:end w:w="120" w:type="dxa"/>
            </w:tcMar>
            <w:vAlign w:val="center"/>
          </w:tcPr>
          <w:p>
            <w:pPr>
              <w:spacing w:after="0" w:line="259" w:lineRule="auto"/>
              <w:jc w:val="left"/>
            </w:pPr>
            <w:r>
              <w:rPr>
                <w:rFonts w:ascii="Calibri" w:hAnsi="Calibri"/>
                <w:sz w:val="17"/>
              </w:rPr>
              <w:t>60-90 jours</w:t>
            </w:r>
          </w:p>
        </w:tc>
        <w:tc>
          <w:tcPr>
            <w:tcW w:type="dxa" w:w="4032"/>
            <w:tcMar>
              <w:top w:w="80" w:type="dxa"/>
              <w:start w:w="120" w:type="dxa"/>
              <w:bottom w:w="80" w:type="dxa"/>
              <w:end w:w="120" w:type="dxa"/>
            </w:tcMar>
            <w:vAlign w:val="center"/>
          </w:tcPr>
          <w:p>
            <w:pPr>
              <w:spacing w:after="0" w:line="259" w:lineRule="auto"/>
            </w:pPr>
            <w:r>
              <w:rPr>
                <w:rFonts w:ascii="Calibri" w:hAnsi="Calibri"/>
                <w:sz w:val="17"/>
              </w:rPr>
              <w:t>1-3 campagnes partenaires payantes; 500+ marchands verifies.</w:t>
            </w:r>
          </w:p>
        </w:tc>
        <w:tc>
          <w:tcPr>
            <w:tcW w:type="dxa" w:w="3744"/>
            <w:tcMar>
              <w:top w:w="80" w:type="dxa"/>
              <w:start w:w="120" w:type="dxa"/>
              <w:bottom w:w="80" w:type="dxa"/>
              <w:end w:w="120" w:type="dxa"/>
            </w:tcMar>
            <w:vAlign w:val="center"/>
          </w:tcPr>
          <w:p>
            <w:pPr>
              <w:spacing w:after="0" w:line="259" w:lineRule="auto"/>
            </w:pPr>
            <w:r>
              <w:rPr>
                <w:rFonts w:ascii="Calibri" w:hAnsi="Calibri"/>
                <w:sz w:val="17"/>
              </w:rPr>
              <w:t>Revenus repetes et economie agent mieux mesuree.</w:t>
            </w:r>
          </w:p>
        </w:tc>
      </w:tr>
      <w:tr>
        <w:tc>
          <w:tcPr>
            <w:tcW w:type="dxa" w:w="1656"/>
            <w:tcMar>
              <w:top w:w="80" w:type="dxa"/>
              <w:start w:w="120" w:type="dxa"/>
              <w:bottom w:w="80" w:type="dxa"/>
              <w:end w:w="120" w:type="dxa"/>
            </w:tcMar>
            <w:vAlign w:val="center"/>
          </w:tcPr>
          <w:p>
            <w:pPr>
              <w:spacing w:after="0" w:line="259" w:lineRule="auto"/>
              <w:jc w:val="left"/>
            </w:pPr>
            <w:r>
              <w:rPr>
                <w:rFonts w:ascii="Calibri" w:hAnsi="Calibri"/>
                <w:sz w:val="17"/>
              </w:rPr>
              <w:t>6 mois</w:t>
            </w:r>
          </w:p>
        </w:tc>
        <w:tc>
          <w:tcPr>
            <w:tcW w:type="dxa" w:w="4032"/>
            <w:tcMar>
              <w:top w:w="80" w:type="dxa"/>
              <w:start w:w="120" w:type="dxa"/>
              <w:bottom w:w="80" w:type="dxa"/>
              <w:end w:w="120" w:type="dxa"/>
            </w:tcMar>
            <w:vAlign w:val="center"/>
          </w:tcPr>
          <w:p>
            <w:pPr>
              <w:spacing w:after="0" w:line="259" w:lineRule="auto"/>
            </w:pPr>
            <w:r>
              <w:rPr>
                <w:rFonts w:ascii="Calibri" w:hAnsi="Calibri"/>
                <w:sz w:val="17"/>
              </w:rPr>
              <w:t>2-3 zones Dakar; premiers partenaires recurrents.</w:t>
            </w:r>
          </w:p>
        </w:tc>
        <w:tc>
          <w:tcPr>
            <w:tcW w:type="dxa" w:w="3744"/>
            <w:tcMar>
              <w:top w:w="80" w:type="dxa"/>
              <w:start w:w="120" w:type="dxa"/>
              <w:bottom w:w="80" w:type="dxa"/>
              <w:end w:w="120" w:type="dxa"/>
            </w:tcMar>
            <w:vAlign w:val="center"/>
          </w:tcPr>
          <w:p>
            <w:pPr>
              <w:spacing w:after="0" w:line="259" w:lineRule="auto"/>
            </w:pPr>
            <w:r>
              <w:rPr>
                <w:rFonts w:ascii="Calibri" w:hAnsi="Calibri"/>
                <w:sz w:val="17"/>
              </w:rPr>
              <w:t>Dashboard partenaire simple et processus de consentement robuste.</w:t>
            </w:r>
          </w:p>
        </w:tc>
      </w:tr>
      <w:tr>
        <w:tc>
          <w:tcPr>
            <w:tcW w:type="dxa" w:w="1656"/>
            <w:tcMar>
              <w:top w:w="80" w:type="dxa"/>
              <w:start w:w="120" w:type="dxa"/>
              <w:bottom w:w="80" w:type="dxa"/>
              <w:end w:w="120" w:type="dxa"/>
            </w:tcMar>
            <w:vAlign w:val="center"/>
          </w:tcPr>
          <w:p>
            <w:pPr>
              <w:spacing w:after="0" w:line="259" w:lineRule="auto"/>
              <w:jc w:val="left"/>
            </w:pPr>
            <w:r>
              <w:rPr>
                <w:rFonts w:ascii="Calibri" w:hAnsi="Calibri"/>
                <w:sz w:val="17"/>
              </w:rPr>
              <w:t>12 mois</w:t>
            </w:r>
          </w:p>
        </w:tc>
        <w:tc>
          <w:tcPr>
            <w:tcW w:type="dxa" w:w="4032"/>
            <w:tcMar>
              <w:top w:w="80" w:type="dxa"/>
              <w:start w:w="120" w:type="dxa"/>
              <w:bottom w:w="80" w:type="dxa"/>
              <w:end w:w="120" w:type="dxa"/>
            </w:tcMar>
            <w:vAlign w:val="center"/>
          </w:tcPr>
          <w:p>
            <w:pPr>
              <w:spacing w:after="0" w:line="259" w:lineRule="auto"/>
            </w:pPr>
            <w:r>
              <w:rPr>
                <w:rFonts w:ascii="Calibri" w:hAnsi="Calibri"/>
                <w:sz w:val="17"/>
              </w:rPr>
              <w:t>Extension a d'autres villes ou segments.</w:t>
            </w:r>
          </w:p>
        </w:tc>
        <w:tc>
          <w:tcPr>
            <w:tcW w:type="dxa" w:w="3744"/>
            <w:tcMar>
              <w:top w:w="80" w:type="dxa"/>
              <w:start w:w="120" w:type="dxa"/>
              <w:bottom w:w="80" w:type="dxa"/>
              <w:end w:w="120" w:type="dxa"/>
            </w:tcMar>
            <w:vAlign w:val="center"/>
          </w:tcPr>
          <w:p>
            <w:pPr>
              <w:spacing w:after="0" w:line="259" w:lineRule="auto"/>
            </w:pPr>
            <w:r>
              <w:rPr>
                <w:rFonts w:ascii="Calibri" w:hAnsi="Calibri"/>
                <w:sz w:val="17"/>
              </w:rPr>
              <w:t>Playbook de replication et premiers clients institutionnels.</w:t>
            </w:r>
          </w:p>
        </w:tc>
      </w:tr>
    </w:tbl>
    <w:p/>
    <w:p>
      <w:r>
        <w:br w:type="page"/>
      </w:r>
    </w:p>
    <w:p>
      <w:pPr>
        <w:pStyle w:val="Heading1"/>
      </w:pPr>
      <w:r>
        <w:t>12. Sources et references</w:t>
      </w:r>
    </w:p>
    <w:tbl>
      <w:tblPr>
        <w:tblStyle w:val="TableGrid"/>
        <w:tblW w:type="auto" w:w="0"/>
        <w:jc w:val="center"/>
        <w:tblLayout w:type="fixed"/>
        <w:tblLook w:firstColumn="1" w:firstRow="1" w:lastColumn="0" w:lastRow="0" w:noHBand="0" w:noVBand="1" w:val="04A0"/>
      </w:tblPr>
      <w:tblGrid>
        <w:gridCol w:w="4896"/>
        <w:gridCol w:w="4896"/>
      </w:tblGrid>
      <w:tr>
        <w:tc>
          <w:tcPr>
            <w:tcW w:type="dxa" w:w="4248"/>
            <w:tcMar>
              <w:top w:w="80" w:type="dxa"/>
              <w:start w:w="120" w:type="dxa"/>
              <w:bottom w:w="80" w:type="dxa"/>
              <w:end w:w="120" w:type="dxa"/>
            </w:tcMar>
            <w:vAlign w:val="center"/>
            <w:shd w:fill="F4F6F9"/>
          </w:tcPr>
          <w:p>
            <w:pPr>
              <w:spacing w:after="0"/>
              <w:jc w:val="center"/>
            </w:pPr>
            <w:r>
              <w:rPr>
                <w:rFonts w:ascii="Calibri" w:hAnsi="Calibri"/>
                <w:b/>
                <w:color w:val="1F4E5F"/>
                <w:sz w:val="16"/>
              </w:rPr>
              <w:t>Source</w:t>
            </w:r>
          </w:p>
        </w:tc>
        <w:tc>
          <w:tcPr>
            <w:tcW w:type="dxa" w:w="5184"/>
            <w:tcMar>
              <w:top w:w="80" w:type="dxa"/>
              <w:start w:w="120" w:type="dxa"/>
              <w:bottom w:w="80" w:type="dxa"/>
              <w:end w:w="120" w:type="dxa"/>
            </w:tcMar>
            <w:vAlign w:val="center"/>
            <w:shd w:fill="F4F6F9"/>
          </w:tcPr>
          <w:p>
            <w:pPr>
              <w:spacing w:after="0"/>
              <w:jc w:val="center"/>
            </w:pPr>
            <w:r>
              <w:rPr>
                <w:rFonts w:ascii="Calibri" w:hAnsi="Calibri"/>
                <w:b/>
                <w:color w:val="1F4E5F"/>
                <w:sz w:val="16"/>
              </w:rPr>
              <w:t>Utilisation dans le business plan</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OIT - Economie informelle en Afrique: https://www.ilo.org/meetings-and-events/informal-economy-africa-which-way-forward-making-policy-responsive</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Justifie que l'informel est structurellement massif en Afrique.</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GSMA - State of the Industry Report on Mobile Money 2026: https://www.gsma.com/sotir/</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Montre la masse des transactions mobile money et la croissance des paiements marchands.</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ADEPME Senegal: https://adepme.sn/</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Cible d'accompagnement non financier, formation, reseautage et appui PME.</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DER/FJ Senegal: https://www.der.sn/la-der-fj/</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Cible publique pour entrepreneuriat femmes/jeunes, auto-emploi, financement et accompagnement.</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CTIC Dakar: https://www.cticdakar.com/</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Cible incubation/acceleration numerique.</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Orange Corners Senegal: https://www.orangecorners.com/country/senegal/</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Cible incubation intensive pour jeunes entrepreneurs.</w:t>
            </w:r>
          </w:p>
        </w:tc>
      </w:tr>
      <w:tr>
        <w:tc>
          <w:tcPr>
            <w:tcW w:type="dxa" w:w="4248"/>
            <w:tcMar>
              <w:top w:w="80" w:type="dxa"/>
              <w:start w:w="120" w:type="dxa"/>
              <w:bottom w:w="80" w:type="dxa"/>
              <w:end w:w="120" w:type="dxa"/>
            </w:tcMar>
            <w:vAlign w:val="center"/>
          </w:tcPr>
          <w:p>
            <w:pPr>
              <w:spacing w:after="0" w:line="259" w:lineRule="auto"/>
            </w:pPr>
            <w:r>
              <w:rPr>
                <w:rFonts w:ascii="Calibri" w:hAnsi="Calibri"/>
                <w:sz w:val="16"/>
              </w:rPr>
              <w:t>Jokkolabs: https://www.jokkolabs.net/</w:t>
            </w:r>
          </w:p>
        </w:tc>
        <w:tc>
          <w:tcPr>
            <w:tcW w:type="dxa" w:w="5184"/>
            <w:tcMar>
              <w:top w:w="80" w:type="dxa"/>
              <w:start w:w="120" w:type="dxa"/>
              <w:bottom w:w="80" w:type="dxa"/>
              <w:end w:w="120" w:type="dxa"/>
            </w:tcMar>
            <w:vAlign w:val="center"/>
          </w:tcPr>
          <w:p>
            <w:pPr>
              <w:spacing w:after="0" w:line="259" w:lineRule="auto"/>
            </w:pPr>
            <w:r>
              <w:rPr>
                <w:rFonts w:ascii="Calibri" w:hAnsi="Calibri"/>
                <w:sz w:val="16"/>
              </w:rPr>
              <w:t>Cible ecosysteme innovation et accompagnement entrepreneurs.</w:t>
            </w:r>
          </w:p>
        </w:tc>
      </w:tr>
    </w:tbl>
    <w:p/>
    <w:p>
      <w:pPr>
        <w:pStyle w:val="Heading1"/>
      </w:pPr>
      <w:r>
        <w:t>13. Annexes a joindre au dossier</w:t>
      </w:r>
    </w:p>
    <w:p>
      <w:pPr>
        <w:pStyle w:val="ListBullet"/>
        <w:spacing w:after="60" w:line="276" w:lineRule="auto"/>
        <w:ind w:left="403" w:hanging="144"/>
      </w:pPr>
      <w:r>
        <w:rPr>
          <w:rFonts w:ascii="Calibri" w:hAnsi="Calibri"/>
          <w:sz w:val="21"/>
        </w:rPr>
        <w:t>Deggal_Plan_Action_FR.pdf</w:t>
      </w:r>
    </w:p>
    <w:p>
      <w:pPr>
        <w:pStyle w:val="ListBullet"/>
        <w:spacing w:after="60" w:line="276" w:lineRule="auto"/>
        <w:ind w:left="403" w:hanging="144"/>
      </w:pPr>
      <w:r>
        <w:rPr>
          <w:rFonts w:ascii="Calibri" w:hAnsi="Calibri"/>
          <w:sz w:val="21"/>
        </w:rPr>
        <w:t>Deggal_Brief_Equipe_Terrain_FR.pdf</w:t>
      </w:r>
    </w:p>
    <w:p>
      <w:pPr>
        <w:pStyle w:val="ListBullet"/>
        <w:spacing w:after="60" w:line="276" w:lineRule="auto"/>
        <w:ind w:left="403" w:hanging="144"/>
      </w:pPr>
      <w:r>
        <w:rPr>
          <w:rFonts w:ascii="Calibri" w:hAnsi="Calibri"/>
          <w:sz w:val="21"/>
        </w:rPr>
        <w:t>Deggal_Plan_30_Jours_FR.xlsx</w:t>
      </w:r>
    </w:p>
    <w:p>
      <w:pPr>
        <w:pStyle w:val="ListBullet"/>
        <w:spacing w:after="60" w:line="276" w:lineRule="auto"/>
        <w:ind w:left="403" w:hanging="144"/>
      </w:pPr>
      <w:r>
        <w:rPr>
          <w:rFonts w:ascii="Calibri" w:hAnsi="Calibri"/>
          <w:sz w:val="21"/>
        </w:rPr>
        <w:t>Deggal_Budget_Modele_Revenus_FR.xlsx</w:t>
      </w:r>
    </w:p>
    <w:p>
      <w:pPr>
        <w:pStyle w:val="ListBullet"/>
        <w:spacing w:after="60" w:line="276" w:lineRule="auto"/>
        <w:ind w:left="403" w:hanging="144"/>
      </w:pPr>
      <w:r>
        <w:rPr>
          <w:rFonts w:ascii="Calibri" w:hAnsi="Calibri"/>
          <w:sz w:val="21"/>
        </w:rPr>
        <w:t>Deggal_Modele_Acces_Partenaires_FR.pdf</w:t>
      </w:r>
    </w:p>
    <w:p>
      <w:pPr>
        <w:pStyle w:val="ListBullet"/>
        <w:spacing w:after="60" w:line="276" w:lineRule="auto"/>
        <w:ind w:left="403" w:hanging="144"/>
      </w:pPr>
      <w:r>
        <w:rPr>
          <w:rFonts w:ascii="Calibri" w:hAnsi="Calibri"/>
          <w:sz w:val="21"/>
        </w:rPr>
        <w:t>Deggal_Classeur_Lancement_FR.xlsx</w:t>
      </w:r>
    </w:p>
    <w:sectPr w:rsidR="00FC693F" w:rsidRPr="0006063C" w:rsidSect="00034616">
      <w:headerReference w:type="default" r:id="rId9"/>
      <w:footerReference w:type="default" r:id="rId10"/>
      <w:pgSz w:w="12240" w:h="15840"/>
      <w:pgMar w:top="1080" w:right="1224" w:bottom="1080" w:left="1224" w:header="648" w:footer="64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color w:val="5B6770"/>
        <w:sz w:val="16"/>
      </w:rPr>
      <w:t>Version de travail - financement pilote 30 jours</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Calibri" w:hAnsi="Calibri"/>
        <w:b/>
        <w:color w:val="5B6770"/>
        <w:sz w:val="17"/>
      </w:rPr>
      <w:t>Deggal - Business plan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8" w:lineRule="auto"/>
    </w:pPr>
    <w:rPr>
      <w:rFonts w:ascii="Calibri" w:hAnsi="Calibri"/>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60"/>
      <w:outlineLvl w:val="0"/>
    </w:pPr>
    <w:rPr>
      <w:rFonts w:asciiTheme="majorHAnsi" w:eastAsiaTheme="majorEastAsia" w:hAnsiTheme="majorHAnsi" w:cstheme="majorBidi" w:ascii="Calibri" w:hAnsi="Calibri"/>
      <w:b/>
      <w:bCs/>
      <w:color w:val="1F4E5F"/>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E5F"/>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