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560" w:line="276" w:lineRule="auto"/>
        <w:jc w:val="left"/>
      </w:pPr>
      <w:r>
        <w:rPr>
          <w:rFonts w:ascii="Arial" w:hAnsi="Arial"/>
          <w:b/>
          <w:i w:val="0"/>
          <w:color w:val="D6AE38"/>
          <w:sz w:val="24"/>
        </w:rPr>
        <w:t>DËGGAL</w:t>
      </w:r>
    </w:p>
    <w:p>
      <w:pPr>
        <w:spacing w:before="0" w:after="200" w:line="276" w:lineRule="auto"/>
        <w:jc w:val="left"/>
      </w:pPr>
      <w:r>
        <w:rPr>
          <w:rFonts w:ascii="Arial" w:hAnsi="Arial"/>
          <w:b/>
          <w:i w:val="0"/>
          <w:color w:val="0B3B2E"/>
          <w:sz w:val="60"/>
        </w:rPr>
        <w:t>Analyse financière</w:t>
        <w:br/>
        <w:t>consolidée</w:t>
      </w:r>
    </w:p>
    <w:p>
      <w:pPr>
        <w:spacing w:before="0" w:after="440" w:line="276" w:lineRule="auto"/>
        <w:jc w:val="left"/>
      </w:pPr>
      <w:r>
        <w:rPr>
          <w:rFonts w:ascii="Arial" w:hAnsi="Arial"/>
          <w:b/>
          <w:i w:val="0"/>
          <w:color w:val="116149"/>
          <w:sz w:val="28"/>
        </w:rPr>
        <w:t>Scénario de base 36 mois et financement du pilote Dakar</w:t>
      </w:r>
    </w:p>
    <w:tbl>
      <w:tblPr>
        <w:tblStyle w:val="TableGrid"/>
        <w:tblW w:type="dxa" w:w="9360"/>
        <w:jc w:val="center"/>
        <w:tblLayout w:type="fixed"/>
        <w:tblLook w:firstColumn="1" w:firstRow="1" w:lastColumn="0" w:lastRow="0" w:noHBand="0" w:noVBand="1" w:val="04A0"/>
        <w:tblInd w:w="120" w:type="dxa"/>
      </w:tblPr>
      <w:tblGrid>
        <w:gridCol w:w="9360"/>
      </w:tblGrid>
      <w:tr>
        <w:tc>
          <w:tcPr>
            <w:tcW w:type="dxa" w:w="9360"/>
            <w:tcMar>
              <w:top w:w="120" w:type="dxa"/>
              <w:start w:w="140" w:type="dxa"/>
              <w:bottom w:w="120" w:type="dxa"/>
              <w:end w:w="140" w:type="dxa"/>
            </w:tcMar>
            <w:vAlign w:val="center"/>
            <w:shd w:fill="F6F1E4"/>
          </w:tcPr>
          <w:p>
            <w:pPr>
              <w:spacing w:after="60"/>
            </w:pPr>
            <w:r/>
            <w:r>
              <w:rPr>
                <w:rFonts w:ascii="Arial" w:hAnsi="Arial"/>
                <w:b/>
                <w:color w:val="D6AE38"/>
                <w:sz w:val="18"/>
              </w:rPr>
              <w:t>STATUT DU DOCUMENT</w:t>
            </w:r>
          </w:p>
          <w:p>
            <w:pPr>
              <w:spacing w:after="0" w:line="269" w:lineRule="auto"/>
            </w:pPr>
            <w:r>
              <w:rPr>
                <w:rFonts w:ascii="Arial" w:hAnsi="Arial"/>
                <w:color w:val="17251F"/>
                <w:sz w:val="21"/>
              </w:rPr>
              <w:t>Version consolidée du 13 juillet 2026. Ce document remplace intégralement l’ancien scénario financier qui affichait un bénéfice de 230 000 FCFA au mois 2 et de 1 775 000 FCFA au mois 3.</w:t>
            </w:r>
          </w:p>
        </w:tc>
      </w:tr>
    </w:tbl>
    <w:p>
      <w:pPr>
        <w:spacing w:after="20"/>
      </w:pPr>
    </w:p>
    <w:p>
      <w:pPr>
        <w:spacing w:before="0" w:after="560" w:line="276" w:lineRule="auto"/>
        <w:jc w:val="left"/>
      </w:pPr>
      <w:r>
        <w:rPr>
          <w:rFonts w:ascii="Arial" w:hAnsi="Arial"/>
          <w:b/>
          <w:i w:val="0"/>
          <w:color w:val="17251F"/>
          <w:sz w:val="22"/>
        </w:rPr>
        <w:t>Projet en pré-pilote. Les revenus sont hypothétiques. Aucun chiffre présenté ici ne constitue un revenu acquis, une promesse de rendement ou une valorisation de Dëggal.</w:t>
      </w:r>
    </w:p>
    <w:tbl>
      <w:tblPr>
        <w:tblStyle w:val="TableGrid"/>
        <w:tblW w:type="dxa" w:w="9360"/>
        <w:tblLayout w:type="fixed"/>
        <w:tblLook w:firstColumn="1" w:firstRow="1" w:lastColumn="0" w:lastRow="0" w:noHBand="0" w:noVBand="1" w:val="04A0"/>
        <w:jc w:val="center"/>
        <w:tblInd w:w="120" w:type="dxa"/>
      </w:tblPr>
      <w:tblGrid>
        <w:gridCol w:w="1800"/>
        <w:gridCol w:w="3000"/>
        <w:gridCol w:w="4560"/>
      </w:tblGrid>
      <w:tr>
        <w:tc>
          <w:tcPr>
            <w:tcW w:type="dxa" w:w="18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Version</w:t>
            </w:r>
          </w:p>
        </w:tc>
        <w:tc>
          <w:tcPr>
            <w:tcW w:type="dxa" w:w="30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Périmètre</w:t>
            </w:r>
          </w:p>
        </w:tc>
        <w:tc>
          <w:tcPr>
            <w:tcW w:type="dxa" w:w="456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Source de référence</w:t>
            </w:r>
          </w:p>
        </w:tc>
      </w:tr>
      <w:tr>
        <w:tc>
          <w:tcPr>
            <w:tcW w:type="dxa" w:w="18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13 juillet 2026</w:t>
            </w:r>
          </w:p>
        </w:tc>
        <w:tc>
          <w:tcPr>
            <w:tcW w:type="dxa" w:w="3000"/>
            <w:shd w:fill="FFFFFF"/>
            <w:tcMar>
              <w:top w:w="120" w:type="dxa"/>
              <w:start w:w="140" w:type="dxa"/>
              <w:bottom w:w="120" w:type="dxa"/>
              <w:end w:w="140" w:type="dxa"/>
            </w:tcMar>
            <w:vAlign w:val="center"/>
          </w:tcPr>
          <w:p>
            <w:pPr>
              <w:spacing w:before="0" w:after="0" w:line="252" w:lineRule="auto"/>
              <w:jc w:val="left"/>
            </w:pPr>
            <w:r/>
            <w:r>
              <w:rPr>
                <w:rFonts w:ascii="Arial" w:hAnsi="Arial"/>
                <w:b w:val="0"/>
                <w:color w:val="17251F"/>
                <w:sz w:val="19"/>
              </w:rPr>
              <w:t>Juillet 2026 à juin 2029</w:t>
            </w:r>
          </w:p>
        </w:tc>
        <w:tc>
          <w:tcPr>
            <w:tcW w:type="dxa" w:w="45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Modèle financier 36 mois de la data room</w:t>
            </w:r>
          </w:p>
        </w:tc>
      </w:tr>
    </w:tbl>
    <w:p>
      <w:pPr>
        <w:spacing w:after="40"/>
      </w:pPr>
    </w:p>
    <w:p>
      <w:pPr>
        <w:spacing w:before="240" w:after="60" w:line="276" w:lineRule="auto"/>
        <w:jc w:val="left"/>
      </w:pPr>
      <w:r>
        <w:rPr>
          <w:rFonts w:ascii="Arial" w:hAnsi="Arial"/>
          <w:b/>
          <w:i w:val="0"/>
          <w:color w:val="5C6E65"/>
          <w:sz w:val="18"/>
        </w:rPr>
        <w:t>Décision attendue</w:t>
      </w:r>
    </w:p>
    <w:p>
      <w:pPr>
        <w:spacing w:before="0" w:after="80" w:line="276" w:lineRule="auto"/>
        <w:jc w:val="left"/>
      </w:pPr>
      <w:r>
        <w:rPr>
          <w:rFonts w:ascii="Arial" w:hAnsi="Arial"/>
          <w:b/>
          <w:i w:val="0"/>
          <w:color w:val="0B3B2E"/>
          <w:sz w:val="26"/>
        </w:rPr>
        <w:t>Financer et encadrer un pilote contrôlé, puis décider de la suite à partir de preuves d’usage, de paiement, de coût et de qualité.</w:t>
      </w:r>
    </w:p>
    <w:p>
      <w:r>
        <w:br w:type="page"/>
      </w:r>
    </w:p>
    <w:p>
      <w:pPr>
        <w:pStyle w:val="Heading1"/>
      </w:pPr>
      <w:r>
        <w:t>1. Lecture à retenir</w:t>
      </w:r>
    </w:p>
    <w:tbl>
      <w:tblPr>
        <w:tblStyle w:val="TableGrid"/>
        <w:tblW w:type="dxa" w:w="9360"/>
        <w:jc w:val="center"/>
        <w:tblLayout w:type="fixed"/>
        <w:tblLook w:firstColumn="1" w:firstRow="1" w:lastColumn="0" w:lastRow="0" w:noHBand="0" w:noVBand="1" w:val="04A0"/>
        <w:tblInd w:w="120" w:type="dxa"/>
      </w:tblPr>
      <w:tblGrid>
        <w:gridCol w:w="9360"/>
      </w:tblGrid>
      <w:tr>
        <w:tc>
          <w:tcPr>
            <w:tcW w:type="dxa" w:w="9360"/>
            <w:tcMar>
              <w:top w:w="120" w:type="dxa"/>
              <w:start w:w="140" w:type="dxa"/>
              <w:bottom w:w="120" w:type="dxa"/>
              <w:end w:w="140" w:type="dxa"/>
            </w:tcMar>
            <w:vAlign w:val="center"/>
            <w:shd w:fill="E8F2ED"/>
          </w:tcPr>
          <w:p>
            <w:pPr>
              <w:spacing w:after="60"/>
            </w:pPr>
            <w:r/>
            <w:r>
              <w:rPr>
                <w:rFonts w:ascii="Arial" w:hAnsi="Arial"/>
                <w:b/>
                <w:color w:val="116149"/>
                <w:sz w:val="18"/>
              </w:rPr>
              <w:t>CONCLUSION</w:t>
            </w:r>
          </w:p>
          <w:p>
            <w:pPr>
              <w:spacing w:after="0" w:line="269" w:lineRule="auto"/>
            </w:pPr>
            <w:r>
              <w:rPr>
                <w:rFonts w:ascii="Arial" w:hAnsi="Arial"/>
                <w:color w:val="17251F"/>
                <w:sz w:val="21"/>
              </w:rPr>
              <w:t>Le scénario de base reste déficitaire pendant la phase de construction. Le premier EBITDA mensuel positif apparaît en février 2028, uniquement si les hypothèses commerciales et opérationnelles se réalisent.</w:t>
            </w:r>
          </w:p>
        </w:tc>
      </w:tr>
    </w:tbl>
    <w:p>
      <w:pPr>
        <w:spacing w:after="20"/>
      </w:pPr>
    </w:p>
    <w:tbl>
      <w:tblPr>
        <w:tblStyle w:val="TableGrid"/>
        <w:tblW w:type="dxa" w:w="9360"/>
        <w:tblLayout w:type="fixed"/>
        <w:tblLook w:firstColumn="1" w:firstRow="1" w:lastColumn="0" w:lastRow="0" w:noHBand="0" w:noVBand="1" w:val="04A0"/>
        <w:jc w:val="center"/>
        <w:tblInd w:w="120" w:type="dxa"/>
      </w:tblPr>
      <w:tblGrid>
        <w:gridCol w:w="2700"/>
        <w:gridCol w:w="2200"/>
        <w:gridCol w:w="2200"/>
        <w:gridCol w:w="2260"/>
      </w:tblGrid>
      <w:tr>
        <w:tc>
          <w:tcPr>
            <w:tcW w:type="dxa" w:w="27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Période</w:t>
            </w:r>
          </w:p>
        </w:tc>
        <w:tc>
          <w:tcPr>
            <w:tcW w:type="dxa" w:w="22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Revenu hypothétique</w:t>
            </w:r>
          </w:p>
        </w:tc>
        <w:tc>
          <w:tcPr>
            <w:tcW w:type="dxa" w:w="22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Coût consolidé</w:t>
            </w:r>
          </w:p>
        </w:tc>
        <w:tc>
          <w:tcPr>
            <w:tcW w:type="dxa" w:w="226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EBITDA</w:t>
            </w:r>
          </w:p>
        </w:tc>
      </w:tr>
      <w:tr>
        <w:tc>
          <w:tcPr>
            <w:tcW w:type="dxa" w:w="27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Mois 1 - juillet 2026</w:t>
            </w:r>
          </w:p>
        </w:tc>
        <w:tc>
          <w:tcPr>
            <w:tcW w:type="dxa" w:w="2200"/>
            <w:shd w:fill="FFFFFF"/>
            <w:tcMar>
              <w:top w:w="120" w:type="dxa"/>
              <w:start w:w="140" w:type="dxa"/>
              <w:bottom w:w="120" w:type="dxa"/>
              <w:end w:w="140" w:type="dxa"/>
            </w:tcMar>
            <w:vAlign w:val="center"/>
          </w:tcPr>
          <w:p>
            <w:pPr>
              <w:spacing w:before="0" w:after="0" w:line="252" w:lineRule="auto"/>
              <w:jc w:val="right"/>
            </w:pPr>
            <w:r/>
            <w:r>
              <w:rPr>
                <w:rFonts w:ascii="Arial" w:hAnsi="Arial"/>
                <w:b w:val="0"/>
                <w:color w:val="17251F"/>
                <w:sz w:val="19"/>
              </w:rPr>
              <w:t>425 000 FCFA</w:t>
            </w:r>
          </w:p>
        </w:tc>
        <w:tc>
          <w:tcPr>
            <w:tcW w:type="dxa" w:w="2200"/>
            <w:shd w:fill="FFFFFF"/>
            <w:tcMar>
              <w:top w:w="120" w:type="dxa"/>
              <w:start w:w="140" w:type="dxa"/>
              <w:bottom w:w="120" w:type="dxa"/>
              <w:end w:w="140" w:type="dxa"/>
            </w:tcMar>
            <w:vAlign w:val="center"/>
          </w:tcPr>
          <w:p>
            <w:pPr>
              <w:spacing w:before="0" w:after="0" w:line="252" w:lineRule="auto"/>
              <w:jc w:val="right"/>
            </w:pPr>
            <w:r/>
            <w:r>
              <w:rPr>
                <w:rFonts w:ascii="Arial" w:hAnsi="Arial"/>
                <w:b w:val="0"/>
                <w:color w:val="17251F"/>
                <w:sz w:val="19"/>
              </w:rPr>
              <w:t>2 451 500 FCFA</w:t>
            </w:r>
          </w:p>
        </w:tc>
        <w:tc>
          <w:tcPr>
            <w:tcW w:type="dxa" w:w="2260"/>
            <w:shd w:fill="FFFFFF"/>
            <w:tcMar>
              <w:top w:w="120" w:type="dxa"/>
              <w:start w:w="140" w:type="dxa"/>
              <w:bottom w:w="120" w:type="dxa"/>
              <w:end w:w="140" w:type="dxa"/>
            </w:tcMar>
            <w:vAlign w:val="center"/>
          </w:tcPr>
          <w:p>
            <w:pPr>
              <w:spacing w:before="0" w:after="0" w:line="252" w:lineRule="auto"/>
              <w:jc w:val="right"/>
            </w:pPr>
            <w:r/>
            <w:r>
              <w:rPr>
                <w:rFonts w:ascii="Arial" w:hAnsi="Arial"/>
                <w:b/>
                <w:color w:val="A43C35"/>
                <w:sz w:val="19"/>
              </w:rPr>
              <w:t>-2 026 500 FCFA</w:t>
            </w:r>
          </w:p>
        </w:tc>
      </w:tr>
      <w:tr>
        <w:tc>
          <w:tcPr>
            <w:tcW w:type="dxa" w:w="27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Mois 2 - août 2026</w:t>
            </w:r>
          </w:p>
        </w:tc>
        <w:tc>
          <w:tcPr>
            <w:tcW w:type="dxa" w:w="2200"/>
            <w:shd w:fill="F3F6F4"/>
            <w:tcMar>
              <w:top w:w="120" w:type="dxa"/>
              <w:start w:w="140" w:type="dxa"/>
              <w:bottom w:w="120" w:type="dxa"/>
              <w:end w:w="140" w:type="dxa"/>
            </w:tcMar>
            <w:vAlign w:val="center"/>
          </w:tcPr>
          <w:p>
            <w:pPr>
              <w:spacing w:before="0" w:after="0" w:line="252" w:lineRule="auto"/>
              <w:jc w:val="right"/>
            </w:pPr>
            <w:r/>
            <w:r>
              <w:rPr>
                <w:rFonts w:ascii="Arial" w:hAnsi="Arial"/>
                <w:b w:val="0"/>
                <w:color w:val="17251F"/>
                <w:sz w:val="19"/>
              </w:rPr>
              <w:t>598 091 FCFA</w:t>
            </w:r>
          </w:p>
        </w:tc>
        <w:tc>
          <w:tcPr>
            <w:tcW w:type="dxa" w:w="2200"/>
            <w:shd w:fill="F3F6F4"/>
            <w:tcMar>
              <w:top w:w="120" w:type="dxa"/>
              <w:start w:w="140" w:type="dxa"/>
              <w:bottom w:w="120" w:type="dxa"/>
              <w:end w:w="140" w:type="dxa"/>
            </w:tcMar>
            <w:vAlign w:val="center"/>
          </w:tcPr>
          <w:p>
            <w:pPr>
              <w:spacing w:before="0" w:after="0" w:line="252" w:lineRule="auto"/>
              <w:jc w:val="right"/>
            </w:pPr>
            <w:r/>
            <w:r>
              <w:rPr>
                <w:rFonts w:ascii="Arial" w:hAnsi="Arial"/>
                <w:b w:val="0"/>
                <w:color w:val="17251F"/>
                <w:sz w:val="19"/>
              </w:rPr>
              <w:t>1 900 000 FCFA</w:t>
            </w:r>
          </w:p>
        </w:tc>
        <w:tc>
          <w:tcPr>
            <w:tcW w:type="dxa" w:w="2260"/>
            <w:shd w:fill="F3F6F4"/>
            <w:tcMar>
              <w:top w:w="120" w:type="dxa"/>
              <w:start w:w="140" w:type="dxa"/>
              <w:bottom w:w="120" w:type="dxa"/>
              <w:end w:w="140" w:type="dxa"/>
            </w:tcMar>
            <w:vAlign w:val="center"/>
          </w:tcPr>
          <w:p>
            <w:pPr>
              <w:spacing w:before="0" w:after="0" w:line="252" w:lineRule="auto"/>
              <w:jc w:val="right"/>
            </w:pPr>
            <w:r/>
            <w:r>
              <w:rPr>
                <w:rFonts w:ascii="Arial" w:hAnsi="Arial"/>
                <w:b/>
                <w:color w:val="A43C35"/>
                <w:sz w:val="19"/>
              </w:rPr>
              <w:t>-1 301 909 FCFA</w:t>
            </w:r>
          </w:p>
        </w:tc>
      </w:tr>
      <w:tr>
        <w:tc>
          <w:tcPr>
            <w:tcW w:type="dxa" w:w="27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Mois 3 - septembre 2026</w:t>
            </w:r>
          </w:p>
        </w:tc>
        <w:tc>
          <w:tcPr>
            <w:tcW w:type="dxa" w:w="2200"/>
            <w:shd w:fill="FFFFFF"/>
            <w:tcMar>
              <w:top w:w="120" w:type="dxa"/>
              <w:start w:w="140" w:type="dxa"/>
              <w:bottom w:w="120" w:type="dxa"/>
              <w:end w:w="140" w:type="dxa"/>
            </w:tcMar>
            <w:vAlign w:val="center"/>
          </w:tcPr>
          <w:p>
            <w:pPr>
              <w:spacing w:before="0" w:after="0" w:line="252" w:lineRule="auto"/>
              <w:jc w:val="right"/>
            </w:pPr>
            <w:r/>
            <w:r>
              <w:rPr>
                <w:rFonts w:ascii="Arial" w:hAnsi="Arial"/>
                <w:b w:val="0"/>
                <w:color w:val="17251F"/>
                <w:sz w:val="19"/>
              </w:rPr>
              <w:t>770 182 FCFA</w:t>
            </w:r>
          </w:p>
        </w:tc>
        <w:tc>
          <w:tcPr>
            <w:tcW w:type="dxa" w:w="2200"/>
            <w:shd w:fill="FFFFFF"/>
            <w:tcMar>
              <w:top w:w="120" w:type="dxa"/>
              <w:start w:w="140" w:type="dxa"/>
              <w:bottom w:w="120" w:type="dxa"/>
              <w:end w:w="140" w:type="dxa"/>
            </w:tcMar>
            <w:vAlign w:val="center"/>
          </w:tcPr>
          <w:p>
            <w:pPr>
              <w:spacing w:before="0" w:after="0" w:line="252" w:lineRule="auto"/>
              <w:jc w:val="right"/>
            </w:pPr>
            <w:r/>
            <w:r>
              <w:rPr>
                <w:rFonts w:ascii="Arial" w:hAnsi="Arial"/>
                <w:b w:val="0"/>
                <w:color w:val="17251F"/>
                <w:sz w:val="19"/>
              </w:rPr>
              <w:t>2 165 000 FCFA</w:t>
            </w:r>
          </w:p>
        </w:tc>
        <w:tc>
          <w:tcPr>
            <w:tcW w:type="dxa" w:w="2260"/>
            <w:shd w:fill="FFFFFF"/>
            <w:tcMar>
              <w:top w:w="120" w:type="dxa"/>
              <w:start w:w="140" w:type="dxa"/>
              <w:bottom w:w="120" w:type="dxa"/>
              <w:end w:w="140" w:type="dxa"/>
            </w:tcMar>
            <w:vAlign w:val="center"/>
          </w:tcPr>
          <w:p>
            <w:pPr>
              <w:spacing w:before="0" w:after="0" w:line="252" w:lineRule="auto"/>
              <w:jc w:val="right"/>
            </w:pPr>
            <w:r/>
            <w:r>
              <w:rPr>
                <w:rFonts w:ascii="Arial" w:hAnsi="Arial"/>
                <w:b/>
                <w:color w:val="A43C35"/>
                <w:sz w:val="19"/>
              </w:rPr>
              <w:t>-1 394 818 FCFA</w:t>
            </w:r>
          </w:p>
        </w:tc>
      </w:tr>
    </w:tbl>
    <w:p>
      <w:pPr>
        <w:spacing w:after="40"/>
      </w:pPr>
    </w:p>
    <w:p>
      <w:pPr>
        <w:spacing w:before="0" w:after="240" w:line="276" w:lineRule="auto"/>
        <w:jc w:val="left"/>
      </w:pPr>
      <w:r>
        <w:rPr>
          <w:rFonts w:ascii="Arial" w:hAnsi="Arial"/>
          <w:b w:val="0"/>
          <w:i/>
          <w:color w:val="5C6E65"/>
          <w:sz w:val="17"/>
        </w:rPr>
        <w:t>Source : onglet Modele_36_Mois du fichier 11_Deggal_Modele_Financier_36_Mois_FR.xlsx. Les valeurs sont arrondies au FCFA le plus proche.</w:t>
      </w:r>
    </w:p>
    <w:p>
      <w:pPr>
        <w:pStyle w:val="Heading2"/>
      </w:pPr>
      <w:r>
        <w:t>Ce que le modèle dit réellement</w:t>
      </w:r>
    </w:p>
    <w:p>
      <w:pPr>
        <w:spacing w:before="0" w:after="140" w:line="276" w:lineRule="auto"/>
        <w:jc w:val="left"/>
      </w:pPr>
      <w:r>
        <w:rPr>
          <w:rFonts w:ascii="Arial" w:hAnsi="Arial"/>
          <w:b w:val="0"/>
          <w:i w:val="0"/>
          <w:color w:val="17251F"/>
          <w:sz w:val="21"/>
        </w:rPr>
        <w:t>Dëggal est, à ce stade, une activité de vérification terrain assistée par logiciel. Le revenu du mois 1 dépend à environ 94 % de 50 nouvelles visites supposées payantes à 8 000 FCFA. Aucun partenaire payant n’étant encore démontré, ce revenu doit rester une hypothèse à tester.</w:t>
      </w:r>
    </w:p>
    <w:p>
      <w:pPr>
        <w:spacing w:before="0" w:after="140" w:line="276" w:lineRule="auto"/>
        <w:jc w:val="left"/>
      </w:pPr>
      <w:r>
        <w:rPr>
          <w:rFonts w:ascii="Arial" w:hAnsi="Arial"/>
          <w:b w:val="0"/>
          <w:i w:val="0"/>
          <w:color w:val="17251F"/>
          <w:sz w:val="21"/>
        </w:rPr>
        <w:t>Le modèle ne devient pas positif parce que 250 profils sont créés. Il devient positif seulement si des partenaires utilisent les profils, commandent des visites, paient et répètent leurs commandes.</w:t>
      </w:r>
    </w:p>
    <w:tbl>
      <w:tblPr>
        <w:tblStyle w:val="TableGrid"/>
        <w:tblW w:type="dxa" w:w="9360"/>
        <w:jc w:val="center"/>
        <w:tblLayout w:type="fixed"/>
        <w:tblLook w:firstColumn="1" w:firstRow="1" w:lastColumn="0" w:lastRow="0" w:noHBand="0" w:noVBand="1" w:val="04A0"/>
        <w:tblInd w:w="120" w:type="dxa"/>
      </w:tblPr>
      <w:tblGrid>
        <w:gridCol w:w="9360"/>
      </w:tblGrid>
      <w:tr>
        <w:tc>
          <w:tcPr>
            <w:tcW w:type="dxa" w:w="9360"/>
            <w:tcMar>
              <w:top w:w="120" w:type="dxa"/>
              <w:start w:w="140" w:type="dxa"/>
              <w:bottom w:w="120" w:type="dxa"/>
              <w:end w:w="140" w:type="dxa"/>
            </w:tcMar>
            <w:vAlign w:val="center"/>
            <w:shd w:fill="F6F1E4"/>
          </w:tcPr>
          <w:p>
            <w:pPr>
              <w:spacing w:after="60"/>
            </w:pPr>
            <w:r/>
            <w:r>
              <w:rPr>
                <w:rFonts w:ascii="Arial" w:hAnsi="Arial"/>
                <w:b/>
                <w:color w:val="D6AE38"/>
                <w:sz w:val="18"/>
              </w:rPr>
              <w:t>RÈGLE DE DÉCISION</w:t>
            </w:r>
          </w:p>
          <w:p>
            <w:pPr>
              <w:spacing w:after="0" w:line="269" w:lineRule="auto"/>
            </w:pPr>
            <w:r>
              <w:rPr>
                <w:rFonts w:ascii="Arial" w:hAnsi="Arial"/>
                <w:color w:val="17251F"/>
                <w:sz w:val="21"/>
              </w:rPr>
              <w:t>Le nombre de profils collectés ne suffit pas à déclencher une phase suivante. La preuve attendue est une utilisation réelle par un acheteur, accompagnée d’un paiement, d’un bon de commande ou d’un contrat.</w:t>
            </w:r>
          </w:p>
        </w:tc>
      </w:tr>
    </w:tbl>
    <w:p>
      <w:pPr>
        <w:spacing w:after="20"/>
      </w:pPr>
    </w:p>
    <w:p>
      <w:r>
        <w:br w:type="page"/>
      </w:r>
    </w:p>
    <w:p>
      <w:pPr>
        <w:pStyle w:val="Heading1"/>
      </w:pPr>
      <w:r>
        <w:t>2. Réconciliation du financement du pilote</w:t>
      </w:r>
    </w:p>
    <w:p>
      <w:pPr>
        <w:spacing w:before="0" w:after="140" w:line="276" w:lineRule="auto"/>
        <w:jc w:val="left"/>
      </w:pPr>
      <w:r>
        <w:rPr>
          <w:rFonts w:ascii="Arial" w:hAnsi="Arial"/>
          <w:b w:val="0"/>
          <w:i w:val="0"/>
          <w:color w:val="17251F"/>
          <w:sz w:val="21"/>
        </w:rPr>
        <w:t>Deux niveaux de coût doivent être distingués. Leur confusion créait l’impression d’une marge de sécurité plus grande qu’elle ne l’est dans le scénario consolidé.</w:t>
      </w:r>
    </w:p>
    <w:tbl>
      <w:tblPr>
        <w:tblStyle w:val="TableGrid"/>
        <w:tblW w:type="dxa" w:w="9360"/>
        <w:tblLayout w:type="fixed"/>
        <w:tblLook w:firstColumn="1" w:firstRow="1" w:lastColumn="0" w:lastRow="0" w:noHBand="0" w:noVBand="1" w:val="04A0"/>
        <w:jc w:val="center"/>
        <w:tblInd w:w="120" w:type="dxa"/>
      </w:tblPr>
      <w:tblGrid>
        <w:gridCol w:w="2600"/>
        <w:gridCol w:w="1900"/>
        <w:gridCol w:w="4860"/>
      </w:tblGrid>
      <w:tr>
        <w:tc>
          <w:tcPr>
            <w:tcW w:type="dxa" w:w="26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Niveau</w:t>
            </w:r>
          </w:p>
        </w:tc>
        <w:tc>
          <w:tcPr>
            <w:tcW w:type="dxa" w:w="19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Montant</w:t>
            </w:r>
          </w:p>
        </w:tc>
        <w:tc>
          <w:tcPr>
            <w:tcW w:type="dxa" w:w="486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Lecture</w:t>
            </w:r>
          </w:p>
        </w:tc>
      </w:tr>
      <w:tr>
        <w:tc>
          <w:tcPr>
            <w:tcW w:type="dxa" w:w="26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Budget direct minimum</w:t>
            </w:r>
          </w:p>
        </w:tc>
        <w:tc>
          <w:tcPr>
            <w:tcW w:type="dxa" w:w="1900"/>
            <w:shd w:fill="FFFFFF"/>
            <w:tcMar>
              <w:top w:w="120" w:type="dxa"/>
              <w:start w:w="140" w:type="dxa"/>
              <w:bottom w:w="120" w:type="dxa"/>
              <w:end w:w="140" w:type="dxa"/>
            </w:tcMar>
            <w:vAlign w:val="center"/>
          </w:tcPr>
          <w:p>
            <w:pPr>
              <w:spacing w:before="0" w:after="0" w:line="252" w:lineRule="auto"/>
              <w:jc w:val="right"/>
            </w:pPr>
            <w:r/>
            <w:r>
              <w:rPr>
                <w:rFonts w:ascii="Arial" w:hAnsi="Arial"/>
                <w:b w:val="0"/>
                <w:color w:val="17251F"/>
                <w:sz w:val="19"/>
              </w:rPr>
              <w:t>2 161 500 FCFA</w:t>
            </w:r>
          </w:p>
        </w:tc>
        <w:tc>
          <w:tcPr>
            <w:tcW w:type="dxa" w:w="48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3 agents terrain, 1 responsable et postes opérationnels minimums</w:t>
            </w:r>
          </w:p>
        </w:tc>
      </w:tr>
      <w:tr>
        <w:tc>
          <w:tcPr>
            <w:tcW w:type="dxa" w:w="26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Coût mois 1 consolidé</w:t>
            </w:r>
          </w:p>
        </w:tc>
        <w:tc>
          <w:tcPr>
            <w:tcW w:type="dxa" w:w="1900"/>
            <w:shd w:fill="F3F6F4"/>
            <w:tcMar>
              <w:top w:w="120" w:type="dxa"/>
              <w:start w:w="140" w:type="dxa"/>
              <w:bottom w:w="120" w:type="dxa"/>
              <w:end w:w="140" w:type="dxa"/>
            </w:tcMar>
            <w:vAlign w:val="center"/>
          </w:tcPr>
          <w:p>
            <w:pPr>
              <w:spacing w:before="0" w:after="0" w:line="252" w:lineRule="auto"/>
              <w:jc w:val="right"/>
            </w:pPr>
            <w:r/>
            <w:r>
              <w:rPr>
                <w:rFonts w:ascii="Arial" w:hAnsi="Arial"/>
                <w:b w:val="0"/>
                <w:color w:val="17251F"/>
                <w:sz w:val="19"/>
              </w:rPr>
              <w:t>2 451 500 FCFA</w:t>
            </w:r>
          </w:p>
        </w:tc>
        <w:tc>
          <w:tcPr>
            <w:tcW w:type="dxa" w:w="48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4 agents, contrôle qualité et données renforcés, avec transport recalibré</w:t>
            </w:r>
          </w:p>
        </w:tc>
      </w:tr>
      <w:tr>
        <w:tc>
          <w:tcPr>
            <w:tcW w:type="dxa" w:w="26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Financement recherché</w:t>
            </w:r>
          </w:p>
        </w:tc>
        <w:tc>
          <w:tcPr>
            <w:tcW w:type="dxa" w:w="1900"/>
            <w:shd w:fill="FFFFFF"/>
            <w:tcMar>
              <w:top w:w="120" w:type="dxa"/>
              <w:start w:w="140" w:type="dxa"/>
              <w:bottom w:w="120" w:type="dxa"/>
              <w:end w:w="140" w:type="dxa"/>
            </w:tcMar>
            <w:vAlign w:val="center"/>
          </w:tcPr>
          <w:p>
            <w:pPr>
              <w:spacing w:before="0" w:after="0" w:line="252" w:lineRule="auto"/>
              <w:jc w:val="right"/>
            </w:pPr>
            <w:r/>
            <w:r>
              <w:rPr>
                <w:rFonts w:ascii="Arial" w:hAnsi="Arial"/>
                <w:b w:val="0"/>
                <w:color w:val="17251F"/>
                <w:sz w:val="19"/>
              </w:rPr>
              <w:t>2 500 000 FCFA</w:t>
            </w:r>
          </w:p>
        </w:tc>
        <w:tc>
          <w:tcPr>
            <w:tcW w:type="dxa" w:w="48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Enveloppe destinée uniquement au pilote contrôlé</w:t>
            </w:r>
          </w:p>
        </w:tc>
      </w:tr>
      <w:tr>
        <w:tc>
          <w:tcPr>
            <w:tcW w:type="dxa" w:w="26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Écart vs budget minimum</w:t>
            </w:r>
          </w:p>
        </w:tc>
        <w:tc>
          <w:tcPr>
            <w:tcW w:type="dxa" w:w="1900"/>
            <w:shd w:fill="F3F6F4"/>
            <w:tcMar>
              <w:top w:w="120" w:type="dxa"/>
              <w:start w:w="140" w:type="dxa"/>
              <w:bottom w:w="120" w:type="dxa"/>
              <w:end w:w="140" w:type="dxa"/>
            </w:tcMar>
            <w:vAlign w:val="center"/>
          </w:tcPr>
          <w:p>
            <w:pPr>
              <w:spacing w:before="0" w:after="0" w:line="252" w:lineRule="auto"/>
              <w:jc w:val="right"/>
            </w:pPr>
            <w:r/>
            <w:r>
              <w:rPr>
                <w:rFonts w:ascii="Arial" w:hAnsi="Arial"/>
                <w:b w:val="0"/>
                <w:color w:val="17251F"/>
                <w:sz w:val="19"/>
              </w:rPr>
              <w:t>338 500 FCFA</w:t>
            </w:r>
          </w:p>
        </w:tc>
        <w:tc>
          <w:tcPr>
            <w:tcW w:type="dxa" w:w="48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Écart théorique, avant chargement complet du mois 1</w:t>
            </w:r>
          </w:p>
        </w:tc>
      </w:tr>
      <w:tr>
        <w:tc>
          <w:tcPr>
            <w:tcW w:type="dxa" w:w="26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Écart vs coût consolidé</w:t>
            </w:r>
          </w:p>
        </w:tc>
        <w:tc>
          <w:tcPr>
            <w:tcW w:type="dxa" w:w="1900"/>
            <w:shd w:fill="FFFFFF"/>
            <w:tcMar>
              <w:top w:w="120" w:type="dxa"/>
              <w:start w:w="140" w:type="dxa"/>
              <w:bottom w:w="120" w:type="dxa"/>
              <w:end w:w="140" w:type="dxa"/>
            </w:tcMar>
            <w:vAlign w:val="center"/>
          </w:tcPr>
          <w:p>
            <w:pPr>
              <w:spacing w:before="0" w:after="0" w:line="252" w:lineRule="auto"/>
              <w:jc w:val="right"/>
            </w:pPr>
            <w:r/>
            <w:r>
              <w:rPr>
                <w:rFonts w:ascii="Arial" w:hAnsi="Arial"/>
                <w:b w:val="0"/>
                <w:color w:val="17251F"/>
                <w:sz w:val="19"/>
              </w:rPr>
              <w:t>48 500 FCFA</w:t>
            </w:r>
          </w:p>
        </w:tc>
        <w:tc>
          <w:tcPr>
            <w:tcW w:type="dxa" w:w="48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Marge réelle avant revenus hypothétiques dans le scénario de base</w:t>
            </w:r>
          </w:p>
        </w:tc>
      </w:tr>
    </w:tbl>
    <w:p>
      <w:pPr>
        <w:spacing w:after="40"/>
      </w:pPr>
    </w:p>
    <w:p>
      <w:pPr>
        <w:pStyle w:val="Heading2"/>
      </w:pPr>
      <w:r>
        <w:t>Origine de l’écart de 290 000 FCFA</w:t>
      </w:r>
    </w:p>
    <w:tbl>
      <w:tblPr>
        <w:tblStyle w:val="TableGrid"/>
        <w:tblW w:type="dxa" w:w="9360"/>
        <w:tblLayout w:type="fixed"/>
        <w:tblLook w:firstColumn="1" w:firstRow="1" w:lastColumn="0" w:lastRow="0" w:noHBand="0" w:noVBand="1" w:val="04A0"/>
        <w:jc w:val="center"/>
        <w:tblInd w:w="120" w:type="dxa"/>
      </w:tblPr>
      <w:tblGrid>
        <w:gridCol w:w="6400"/>
        <w:gridCol w:w="2960"/>
      </w:tblGrid>
      <w:tr>
        <w:tc>
          <w:tcPr>
            <w:tcW w:type="dxa" w:w="64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Ajustement</w:t>
            </w:r>
          </w:p>
        </w:tc>
        <w:tc>
          <w:tcPr>
            <w:tcW w:type="dxa" w:w="296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Variation</w:t>
            </w:r>
          </w:p>
        </w:tc>
      </w:tr>
      <w:tr>
        <w:tc>
          <w:tcPr>
            <w:tcW w:type="dxa" w:w="64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Un agent terrain supplémentaire</w:t>
            </w:r>
          </w:p>
        </w:tc>
        <w:tc>
          <w:tcPr>
            <w:tcW w:type="dxa" w:w="2960"/>
            <w:shd w:fill="FFFFFF"/>
            <w:tcMar>
              <w:top w:w="120" w:type="dxa"/>
              <w:start w:w="140" w:type="dxa"/>
              <w:bottom w:w="120" w:type="dxa"/>
              <w:end w:w="140" w:type="dxa"/>
            </w:tcMar>
            <w:vAlign w:val="center"/>
          </w:tcPr>
          <w:p>
            <w:pPr>
              <w:spacing w:before="0" w:after="0" w:line="252" w:lineRule="auto"/>
              <w:jc w:val="right"/>
            </w:pPr>
            <w:r/>
            <w:r>
              <w:rPr>
                <w:rFonts w:ascii="Arial" w:hAnsi="Arial"/>
                <w:b/>
                <w:color w:val="17251F"/>
                <w:sz w:val="19"/>
              </w:rPr>
              <w:t>+175 000 FCFA</w:t>
            </w:r>
          </w:p>
        </w:tc>
      </w:tr>
      <w:tr>
        <w:tc>
          <w:tcPr>
            <w:tcW w:type="dxa" w:w="64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Téléphone et données renforcés</w:t>
            </w:r>
          </w:p>
        </w:tc>
        <w:tc>
          <w:tcPr>
            <w:tcW w:type="dxa" w:w="2960"/>
            <w:shd w:fill="F3F6F4"/>
            <w:tcMar>
              <w:top w:w="120" w:type="dxa"/>
              <w:start w:w="140" w:type="dxa"/>
              <w:bottom w:w="120" w:type="dxa"/>
              <w:end w:w="140" w:type="dxa"/>
            </w:tcMar>
            <w:vAlign w:val="center"/>
          </w:tcPr>
          <w:p>
            <w:pPr>
              <w:spacing w:before="0" w:after="0" w:line="252" w:lineRule="auto"/>
              <w:jc w:val="right"/>
            </w:pPr>
            <w:r/>
            <w:r>
              <w:rPr>
                <w:rFonts w:ascii="Arial" w:hAnsi="Arial"/>
                <w:b/>
                <w:color w:val="17251F"/>
                <w:sz w:val="19"/>
              </w:rPr>
              <w:t>+40 000 FCFA</w:t>
            </w:r>
          </w:p>
        </w:tc>
      </w:tr>
      <w:tr>
        <w:tc>
          <w:tcPr>
            <w:tcW w:type="dxa" w:w="64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Contrôle qualité explicite</w:t>
            </w:r>
          </w:p>
        </w:tc>
        <w:tc>
          <w:tcPr>
            <w:tcW w:type="dxa" w:w="2960"/>
            <w:shd w:fill="FFFFFF"/>
            <w:tcMar>
              <w:top w:w="120" w:type="dxa"/>
              <w:start w:w="140" w:type="dxa"/>
              <w:bottom w:w="120" w:type="dxa"/>
              <w:end w:w="140" w:type="dxa"/>
            </w:tcMar>
            <w:vAlign w:val="center"/>
          </w:tcPr>
          <w:p>
            <w:pPr>
              <w:spacing w:before="0" w:after="0" w:line="252" w:lineRule="auto"/>
              <w:jc w:val="right"/>
            </w:pPr>
            <w:r/>
            <w:r>
              <w:rPr>
                <w:rFonts w:ascii="Arial" w:hAnsi="Arial"/>
                <w:b/>
                <w:color w:val="17251F"/>
                <w:sz w:val="19"/>
              </w:rPr>
              <w:t>+125 000 FCFA</w:t>
            </w:r>
          </w:p>
        </w:tc>
      </w:tr>
      <w:tr>
        <w:tc>
          <w:tcPr>
            <w:tcW w:type="dxa" w:w="64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Transport recalibré</w:t>
            </w:r>
          </w:p>
        </w:tc>
        <w:tc>
          <w:tcPr>
            <w:tcW w:type="dxa" w:w="2960"/>
            <w:shd w:fill="F3F6F4"/>
            <w:tcMar>
              <w:top w:w="120" w:type="dxa"/>
              <w:start w:w="140" w:type="dxa"/>
              <w:bottom w:w="120" w:type="dxa"/>
              <w:end w:w="140" w:type="dxa"/>
            </w:tcMar>
            <w:vAlign w:val="center"/>
          </w:tcPr>
          <w:p>
            <w:pPr>
              <w:spacing w:before="0" w:after="0" w:line="252" w:lineRule="auto"/>
              <w:jc w:val="right"/>
            </w:pPr>
            <w:r/>
            <w:r>
              <w:rPr>
                <w:rFonts w:ascii="Arial" w:hAnsi="Arial"/>
                <w:b/>
                <w:color w:val="A43C35"/>
                <w:sz w:val="19"/>
              </w:rPr>
              <w:t>-50 000 FCFA</w:t>
            </w:r>
          </w:p>
        </w:tc>
      </w:tr>
      <w:tr>
        <w:tc>
          <w:tcPr>
            <w:tcW w:type="dxa" w:w="64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Écart total</w:t>
            </w:r>
          </w:p>
        </w:tc>
        <w:tc>
          <w:tcPr>
            <w:tcW w:type="dxa" w:w="2960"/>
            <w:shd w:fill="FFFFFF"/>
            <w:tcMar>
              <w:top w:w="120" w:type="dxa"/>
              <w:start w:w="140" w:type="dxa"/>
              <w:bottom w:w="120" w:type="dxa"/>
              <w:end w:w="140" w:type="dxa"/>
            </w:tcMar>
            <w:vAlign w:val="center"/>
          </w:tcPr>
          <w:p>
            <w:pPr>
              <w:spacing w:before="0" w:after="0" w:line="252" w:lineRule="auto"/>
              <w:jc w:val="right"/>
            </w:pPr>
            <w:r/>
            <w:r>
              <w:rPr>
                <w:rFonts w:ascii="Arial" w:hAnsi="Arial"/>
                <w:b/>
                <w:color w:val="17251F"/>
                <w:sz w:val="19"/>
              </w:rPr>
              <w:t>+290 000 FCFA</w:t>
            </w:r>
          </w:p>
        </w:tc>
      </w:tr>
    </w:tbl>
    <w:p>
      <w:pPr>
        <w:spacing w:after="40"/>
      </w:pPr>
    </w:p>
    <w:tbl>
      <w:tblPr>
        <w:tblStyle w:val="TableGrid"/>
        <w:tblW w:type="dxa" w:w="9360"/>
        <w:jc w:val="center"/>
        <w:tblLayout w:type="fixed"/>
        <w:tblLook w:firstColumn="1" w:firstRow="1" w:lastColumn="0" w:lastRow="0" w:noHBand="0" w:noVBand="1" w:val="04A0"/>
        <w:tblInd w:w="120" w:type="dxa"/>
      </w:tblPr>
      <w:tblGrid>
        <w:gridCol w:w="9360"/>
      </w:tblGrid>
      <w:tr>
        <w:tc>
          <w:tcPr>
            <w:tcW w:type="dxa" w:w="9360"/>
            <w:tcMar>
              <w:top w:w="120" w:type="dxa"/>
              <w:start w:w="140" w:type="dxa"/>
              <w:bottom w:w="120" w:type="dxa"/>
              <w:end w:w="140" w:type="dxa"/>
            </w:tcMar>
            <w:vAlign w:val="center"/>
            <w:shd w:fill="E8F2ED"/>
          </w:tcPr>
          <w:p>
            <w:pPr>
              <w:spacing w:after="60"/>
            </w:pPr>
            <w:r/>
            <w:r>
              <w:rPr>
                <w:rFonts w:ascii="Arial" w:hAnsi="Arial"/>
                <w:b/>
                <w:color w:val="116149"/>
                <w:sz w:val="18"/>
              </w:rPr>
              <w:t>PRÉSENTATION RECOMMANDÉE</w:t>
            </w:r>
          </w:p>
          <w:p>
            <w:pPr>
              <w:spacing w:after="0" w:line="269" w:lineRule="auto"/>
            </w:pPr>
            <w:r>
              <w:rPr>
                <w:rFonts w:ascii="Arial" w:hAnsi="Arial"/>
                <w:color w:val="17251F"/>
                <w:sz w:val="21"/>
              </w:rPr>
              <w:t>Le financement de 2,5 millions FCFA couvre le coût consolidé du premier mois avec une marge de 48 500 FCFA avant revenus hypothétiques. Toute extension doit dépendre de jalons contractuels et opérationnels.</w:t>
            </w:r>
          </w:p>
        </w:tc>
      </w:tr>
    </w:tbl>
    <w:p>
      <w:pPr>
        <w:spacing w:after="20"/>
      </w:pPr>
    </w:p>
    <w:p>
      <w:r>
        <w:br w:type="page"/>
      </w:r>
    </w:p>
    <w:p>
      <w:pPr>
        <w:pStyle w:val="Heading1"/>
      </w:pPr>
      <w:r>
        <w:t>3. Hypothèses de revenu à tester</w:t>
      </w:r>
    </w:p>
    <w:tbl>
      <w:tblPr>
        <w:tblStyle w:val="TableGrid"/>
        <w:tblW w:type="dxa" w:w="9360"/>
        <w:tblLayout w:type="fixed"/>
        <w:tblLook w:firstColumn="1" w:firstRow="1" w:lastColumn="0" w:lastRow="0" w:noHBand="0" w:noVBand="1" w:val="04A0"/>
        <w:jc w:val="center"/>
        <w:tblInd w:w="120" w:type="dxa"/>
      </w:tblPr>
      <w:tblGrid>
        <w:gridCol w:w="2500"/>
        <w:gridCol w:w="2400"/>
        <w:gridCol w:w="4460"/>
      </w:tblGrid>
      <w:tr>
        <w:tc>
          <w:tcPr>
            <w:tcW w:type="dxa" w:w="25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Ligne</w:t>
            </w:r>
          </w:p>
        </w:tc>
        <w:tc>
          <w:tcPr>
            <w:tcW w:type="dxa" w:w="24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Hypothèse tarifaire</w:t>
            </w:r>
          </w:p>
        </w:tc>
        <w:tc>
          <w:tcPr>
            <w:tcW w:type="dxa" w:w="446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Preuve exigée</w:t>
            </w:r>
          </w:p>
        </w:tc>
      </w:tr>
      <w:tr>
        <w:tc>
          <w:tcPr>
            <w:tcW w:type="dxa" w:w="25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Accès mensuel partenaire</w:t>
            </w:r>
          </w:p>
        </w:tc>
        <w:tc>
          <w:tcPr>
            <w:tcW w:type="dxa" w:w="2400"/>
            <w:shd w:fill="FFFFFF"/>
            <w:tcMar>
              <w:top w:w="120" w:type="dxa"/>
              <w:start w:w="140" w:type="dxa"/>
              <w:bottom w:w="120" w:type="dxa"/>
              <w:end w:w="140" w:type="dxa"/>
            </w:tcMar>
            <w:vAlign w:val="center"/>
          </w:tcPr>
          <w:p>
            <w:pPr>
              <w:spacing w:before="0" w:after="0" w:line="252" w:lineRule="auto"/>
              <w:jc w:val="left"/>
            </w:pPr>
            <w:r/>
            <w:r>
              <w:rPr>
                <w:rFonts w:ascii="Arial" w:hAnsi="Arial"/>
                <w:b w:val="0"/>
                <w:color w:val="17251F"/>
                <w:sz w:val="19"/>
              </w:rPr>
              <w:t>25 000 FCFA</w:t>
            </w:r>
          </w:p>
        </w:tc>
        <w:tc>
          <w:tcPr>
            <w:tcW w:type="dxa" w:w="44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Abonnement payé ou contrat signé</w:t>
            </w:r>
          </w:p>
        </w:tc>
      </w:tr>
      <w:tr>
        <w:tc>
          <w:tcPr>
            <w:tcW w:type="dxa" w:w="25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Dossier additionnel</w:t>
            </w:r>
          </w:p>
        </w:tc>
        <w:tc>
          <w:tcPr>
            <w:tcW w:type="dxa" w:w="2400"/>
            <w:shd w:fill="F3F6F4"/>
            <w:tcMar>
              <w:top w:w="120" w:type="dxa"/>
              <w:start w:w="140" w:type="dxa"/>
              <w:bottom w:w="120" w:type="dxa"/>
              <w:end w:w="140" w:type="dxa"/>
            </w:tcMar>
            <w:vAlign w:val="center"/>
          </w:tcPr>
          <w:p>
            <w:pPr>
              <w:spacing w:before="0" w:after="0" w:line="252" w:lineRule="auto"/>
              <w:jc w:val="left"/>
            </w:pPr>
            <w:r/>
            <w:r>
              <w:rPr>
                <w:rFonts w:ascii="Arial" w:hAnsi="Arial"/>
                <w:b w:val="0"/>
                <w:color w:val="17251F"/>
                <w:sz w:val="19"/>
              </w:rPr>
              <w:t>500 FCFA</w:t>
            </w:r>
          </w:p>
        </w:tc>
        <w:tc>
          <w:tcPr>
            <w:tcW w:type="dxa" w:w="44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Usage réel au-delà du volume inclus</w:t>
            </w:r>
          </w:p>
        </w:tc>
      </w:tr>
      <w:tr>
        <w:tc>
          <w:tcPr>
            <w:tcW w:type="dxa" w:w="25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Utilisateur additionnel</w:t>
            </w:r>
          </w:p>
        </w:tc>
        <w:tc>
          <w:tcPr>
            <w:tcW w:type="dxa" w:w="2400"/>
            <w:shd w:fill="FFFFFF"/>
            <w:tcMar>
              <w:top w:w="120" w:type="dxa"/>
              <w:start w:w="140" w:type="dxa"/>
              <w:bottom w:w="120" w:type="dxa"/>
              <w:end w:w="140" w:type="dxa"/>
            </w:tcMar>
            <w:vAlign w:val="center"/>
          </w:tcPr>
          <w:p>
            <w:pPr>
              <w:spacing w:before="0" w:after="0" w:line="252" w:lineRule="auto"/>
              <w:jc w:val="left"/>
            </w:pPr>
            <w:r/>
            <w:r>
              <w:rPr>
                <w:rFonts w:ascii="Arial" w:hAnsi="Arial"/>
                <w:b w:val="0"/>
                <w:color w:val="17251F"/>
                <w:sz w:val="19"/>
              </w:rPr>
              <w:t>5 000 FCFA / mois</w:t>
            </w:r>
          </w:p>
        </w:tc>
        <w:tc>
          <w:tcPr>
            <w:tcW w:type="dxa" w:w="44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Compte activé et payé</w:t>
            </w:r>
          </w:p>
        </w:tc>
      </w:tr>
      <w:tr>
        <w:tc>
          <w:tcPr>
            <w:tcW w:type="dxa" w:w="25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Nouvelle visite demandée</w:t>
            </w:r>
          </w:p>
        </w:tc>
        <w:tc>
          <w:tcPr>
            <w:tcW w:type="dxa" w:w="2400"/>
            <w:shd w:fill="F3F6F4"/>
            <w:tcMar>
              <w:top w:w="120" w:type="dxa"/>
              <w:start w:w="140" w:type="dxa"/>
              <w:bottom w:w="120" w:type="dxa"/>
              <w:end w:w="140" w:type="dxa"/>
            </w:tcMar>
            <w:vAlign w:val="center"/>
          </w:tcPr>
          <w:p>
            <w:pPr>
              <w:spacing w:before="0" w:after="0" w:line="252" w:lineRule="auto"/>
              <w:jc w:val="left"/>
            </w:pPr>
            <w:r/>
            <w:r>
              <w:rPr>
                <w:rFonts w:ascii="Arial" w:hAnsi="Arial"/>
                <w:b w:val="0"/>
                <w:color w:val="17251F"/>
                <w:sz w:val="19"/>
              </w:rPr>
              <w:t>8 000 FCFA</w:t>
            </w:r>
          </w:p>
        </w:tc>
        <w:tc>
          <w:tcPr>
            <w:tcW w:type="dxa" w:w="44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Commande explicite, visite réalisée et encaissée</w:t>
            </w:r>
          </w:p>
        </w:tc>
      </w:tr>
      <w:tr>
        <w:tc>
          <w:tcPr>
            <w:tcW w:type="dxa" w:w="25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Consultation ponctuelle</w:t>
            </w:r>
          </w:p>
        </w:tc>
        <w:tc>
          <w:tcPr>
            <w:tcW w:type="dxa" w:w="2400"/>
            <w:shd w:fill="FFFFFF"/>
            <w:tcMar>
              <w:top w:w="120" w:type="dxa"/>
              <w:start w:w="140" w:type="dxa"/>
              <w:bottom w:w="120" w:type="dxa"/>
              <w:end w:w="140" w:type="dxa"/>
            </w:tcMar>
            <w:vAlign w:val="center"/>
          </w:tcPr>
          <w:p>
            <w:pPr>
              <w:spacing w:before="0" w:after="0" w:line="252" w:lineRule="auto"/>
              <w:jc w:val="left"/>
            </w:pPr>
            <w:r/>
            <w:r>
              <w:rPr>
                <w:rFonts w:ascii="Arial" w:hAnsi="Arial"/>
                <w:b w:val="0"/>
                <w:color w:val="17251F"/>
                <w:sz w:val="19"/>
              </w:rPr>
              <w:t>À partir de 15 000 FCFA</w:t>
            </w:r>
          </w:p>
        </w:tc>
        <w:tc>
          <w:tcPr>
            <w:tcW w:type="dxa" w:w="44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Demande facturée et livrée</w:t>
            </w:r>
          </w:p>
        </w:tc>
      </w:tr>
      <w:tr>
        <w:tc>
          <w:tcPr>
            <w:tcW w:type="dxa" w:w="25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Accès à un marché précis</w:t>
            </w:r>
          </w:p>
        </w:tc>
        <w:tc>
          <w:tcPr>
            <w:tcW w:type="dxa" w:w="2400"/>
            <w:shd w:fill="F3F6F4"/>
            <w:tcMar>
              <w:top w:w="120" w:type="dxa"/>
              <w:start w:w="140" w:type="dxa"/>
              <w:bottom w:w="120" w:type="dxa"/>
              <w:end w:w="140" w:type="dxa"/>
            </w:tcMar>
            <w:vAlign w:val="center"/>
          </w:tcPr>
          <w:p>
            <w:pPr>
              <w:spacing w:before="0" w:after="0" w:line="252" w:lineRule="auto"/>
              <w:jc w:val="left"/>
            </w:pPr>
            <w:r/>
            <w:r>
              <w:rPr>
                <w:rFonts w:ascii="Arial" w:hAnsi="Arial"/>
                <w:b w:val="0"/>
                <w:color w:val="17251F"/>
                <w:sz w:val="19"/>
              </w:rPr>
              <w:t>À partir de 50 000 FCFA / mois</w:t>
            </w:r>
          </w:p>
        </w:tc>
        <w:tc>
          <w:tcPr>
            <w:tcW w:type="dxa" w:w="44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Périmètre, durée et utilisateurs contractuels</w:t>
            </w:r>
          </w:p>
        </w:tc>
      </w:tr>
    </w:tbl>
    <w:p>
      <w:pPr>
        <w:spacing w:after="40"/>
      </w:pPr>
    </w:p>
    <w:p>
      <w:pPr>
        <w:spacing w:before="0" w:after="140" w:line="276" w:lineRule="auto"/>
        <w:jc w:val="left"/>
      </w:pPr>
      <w:r>
        <w:rPr>
          <w:rFonts w:ascii="Arial" w:hAnsi="Arial"/>
          <w:b/>
          <w:i w:val="0"/>
          <w:color w:val="17251F"/>
          <w:sz w:val="21"/>
        </w:rPr>
        <w:t>Ces prix sont des hypothèses pilotes. Ils doivent être expliqués simplement, testés auprès d’acheteurs sénégalais et révisés à partir des coûts observés.</w:t>
      </w:r>
    </w:p>
    <w:p>
      <w:pPr>
        <w:pStyle w:val="Heading2"/>
      </w:pPr>
      <w:r>
        <w:t>Sensibilité commerciale</w:t>
      </w:r>
    </w:p>
    <w:p>
      <w:pPr>
        <w:spacing w:before="0" w:after="140" w:line="276" w:lineRule="auto"/>
        <w:jc w:val="left"/>
      </w:pPr>
      <w:r>
        <w:rPr>
          <w:rFonts w:ascii="Arial" w:hAnsi="Arial"/>
          <w:b w:val="0"/>
          <w:i w:val="0"/>
          <w:color w:val="17251F"/>
          <w:sz w:val="21"/>
        </w:rPr>
        <w:t>Au mois 1, 400 000 FCFA sur 425 000 FCFA de revenus supposés proviennent des nouvelles visites. Si ces 50 visites ne sont pas commandées et payées, le revenu du mois 1 tombe à 25 000 FCFA et la perte augmente d’autant.</w:t>
      </w:r>
    </w:p>
    <w:tbl>
      <w:tblPr>
        <w:tblStyle w:val="TableGrid"/>
        <w:tblW w:type="dxa" w:w="9360"/>
        <w:jc w:val="center"/>
        <w:tblLayout w:type="fixed"/>
        <w:tblLook w:firstColumn="1" w:firstRow="1" w:lastColumn="0" w:lastRow="0" w:noHBand="0" w:noVBand="1" w:val="04A0"/>
        <w:tblInd w:w="120" w:type="dxa"/>
      </w:tblPr>
      <w:tblGrid>
        <w:gridCol w:w="9360"/>
      </w:tblGrid>
      <w:tr>
        <w:tc>
          <w:tcPr>
            <w:tcW w:type="dxa" w:w="9360"/>
            <w:tcMar>
              <w:top w:w="120" w:type="dxa"/>
              <w:start w:w="140" w:type="dxa"/>
              <w:bottom w:w="120" w:type="dxa"/>
              <w:end w:w="140" w:type="dxa"/>
            </w:tcMar>
            <w:vAlign w:val="center"/>
            <w:shd w:fill="F6F1E4"/>
          </w:tcPr>
          <w:p>
            <w:pPr>
              <w:spacing w:after="60"/>
            </w:pPr>
            <w:r/>
            <w:r>
              <w:rPr>
                <w:rFonts w:ascii="Arial" w:hAnsi="Arial"/>
                <w:b/>
                <w:color w:val="D6AE38"/>
                <w:sz w:val="18"/>
              </w:rPr>
              <w:t>PRIORITÉ DU PILOTE</w:t>
            </w:r>
          </w:p>
          <w:p>
            <w:pPr>
              <w:spacing w:after="0" w:line="269" w:lineRule="auto"/>
            </w:pPr>
            <w:r>
              <w:rPr>
                <w:rFonts w:ascii="Arial" w:hAnsi="Arial"/>
                <w:color w:val="17251F"/>
                <w:sz w:val="21"/>
              </w:rPr>
              <w:t>Tester d’abord un cas d’usage acheteur précis sur 30 à 50 profils. Passer à 100 puis 250 profils uniquement si le partenaire utilise les dossiers et confirme leur utilité.</w:t>
            </w:r>
          </w:p>
        </w:tc>
      </w:tr>
    </w:tbl>
    <w:p>
      <w:pPr>
        <w:spacing w:after="20"/>
      </w:pPr>
    </w:p>
    <w:p>
      <w:r>
        <w:br w:type="page"/>
      </w:r>
    </w:p>
    <w:p>
      <w:pPr>
        <w:pStyle w:val="Heading1"/>
      </w:pPr>
      <w:r>
        <w:t>4. Besoin de trésorerie et point mort</w:t>
      </w:r>
    </w:p>
    <w:tbl>
      <w:tblPr>
        <w:tblStyle w:val="TableGrid"/>
        <w:tblW w:type="dxa" w:w="9360"/>
        <w:tblLayout w:type="fixed"/>
        <w:tblLook w:firstColumn="1" w:firstRow="1" w:lastColumn="0" w:lastRow="0" w:noHBand="0" w:noVBand="1" w:val="04A0"/>
        <w:jc w:val="center"/>
        <w:tblInd w:w="120" w:type="dxa"/>
      </w:tblPr>
      <w:tblGrid>
        <w:gridCol w:w="5000"/>
        <w:gridCol w:w="4360"/>
      </w:tblGrid>
      <w:tr>
        <w:tc>
          <w:tcPr>
            <w:tcW w:type="dxa" w:w="50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Indicateur</w:t>
            </w:r>
          </w:p>
        </w:tc>
        <w:tc>
          <w:tcPr>
            <w:tcW w:type="dxa" w:w="436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Scénario de base</w:t>
            </w:r>
          </w:p>
        </w:tc>
      </w:tr>
      <w:tr>
        <w:tc>
          <w:tcPr>
            <w:tcW w:type="dxa" w:w="50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Premier EBITDA mensuel positif</w:t>
            </w:r>
          </w:p>
        </w:tc>
        <w:tc>
          <w:tcPr>
            <w:tcW w:type="dxa" w:w="43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Février 2028</w:t>
            </w:r>
          </w:p>
        </w:tc>
      </w:tr>
      <w:tr>
        <w:tc>
          <w:tcPr>
            <w:tcW w:type="dxa" w:w="50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Besoin cumulé maximal avant financement</w:t>
            </w:r>
          </w:p>
        </w:tc>
        <w:tc>
          <w:tcPr>
            <w:tcW w:type="dxa" w:w="43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Environ 30,1 millions FCFA</w:t>
            </w:r>
          </w:p>
        </w:tc>
      </w:tr>
      <w:tr>
        <w:tc>
          <w:tcPr>
            <w:tcW w:type="dxa" w:w="50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Retour de la trésorerie cumulée au-dessus de zéro</w:t>
            </w:r>
          </w:p>
        </w:tc>
        <w:tc>
          <w:tcPr>
            <w:tcW w:type="dxa" w:w="43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Mars 2029</w:t>
            </w:r>
          </w:p>
        </w:tc>
      </w:tr>
      <w:tr>
        <w:tc>
          <w:tcPr>
            <w:tcW w:type="dxa" w:w="50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Horizon du modèle</w:t>
            </w:r>
          </w:p>
        </w:tc>
        <w:tc>
          <w:tcPr>
            <w:tcW w:type="dxa" w:w="43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Juillet 2026 à juin 2029</w:t>
            </w:r>
          </w:p>
        </w:tc>
      </w:tr>
    </w:tbl>
    <w:p>
      <w:pPr>
        <w:spacing w:after="40"/>
      </w:pPr>
    </w:p>
    <w:p>
      <w:pPr>
        <w:spacing w:before="0" w:after="140" w:line="276" w:lineRule="auto"/>
        <w:jc w:val="left"/>
      </w:pPr>
      <w:r>
        <w:rPr>
          <w:rFonts w:ascii="Arial" w:hAnsi="Arial"/>
          <w:b w:val="0"/>
          <w:i w:val="0"/>
          <w:color w:val="17251F"/>
          <w:sz w:val="21"/>
        </w:rPr>
        <w:t>Le besoin de 2,5 millions FCFA ne finance donc pas une entreprise autonome. Il achète une première preuve de marché et doit être traité comme un budget d’expérimentation potentiellement perdu.</w:t>
      </w:r>
    </w:p>
    <w:p>
      <w:pPr>
        <w:pStyle w:val="Heading2"/>
      </w:pPr>
      <w:r>
        <w:t>Conditions avant une phase suivante</w:t>
      </w:r>
    </w:p>
    <w:tbl>
      <w:tblPr>
        <w:tblStyle w:val="TableGrid"/>
        <w:tblW w:type="dxa" w:w="9360"/>
        <w:tblLayout w:type="fixed"/>
        <w:tblLook w:firstColumn="1" w:firstRow="1" w:lastColumn="0" w:lastRow="0" w:noHBand="0" w:noVBand="1" w:val="04A0"/>
        <w:jc w:val="center"/>
        <w:tblInd w:w="120" w:type="dxa"/>
      </w:tblPr>
      <w:tblGrid>
        <w:gridCol w:w="3300"/>
        <w:gridCol w:w="6060"/>
      </w:tblGrid>
      <w:tr>
        <w:tc>
          <w:tcPr>
            <w:tcW w:type="dxa" w:w="33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Preuve</w:t>
            </w:r>
          </w:p>
        </w:tc>
        <w:tc>
          <w:tcPr>
            <w:tcW w:type="dxa" w:w="606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Seuil de lecture</w:t>
            </w:r>
          </w:p>
        </w:tc>
      </w:tr>
      <w:tr>
        <w:tc>
          <w:tcPr>
            <w:tcW w:type="dxa" w:w="33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Paiement</w:t>
            </w:r>
          </w:p>
        </w:tc>
        <w:tc>
          <w:tcPr>
            <w:tcW w:type="dxa" w:w="60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Au moins un paiement encaissé, bon de commande ou contrat</w:t>
            </w:r>
          </w:p>
        </w:tc>
      </w:tr>
      <w:tr>
        <w:tc>
          <w:tcPr>
            <w:tcW w:type="dxa" w:w="33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Usage</w:t>
            </w:r>
          </w:p>
        </w:tc>
        <w:tc>
          <w:tcPr>
            <w:tcW w:type="dxa" w:w="60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Profils effectivement consultés dans un processus partenaire réel</w:t>
            </w:r>
          </w:p>
        </w:tc>
      </w:tr>
      <w:tr>
        <w:tc>
          <w:tcPr>
            <w:tcW w:type="dxa" w:w="33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Qualité</w:t>
            </w:r>
          </w:p>
        </w:tc>
        <w:tc>
          <w:tcPr>
            <w:tcW w:type="dxa" w:w="60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Contrôle généralement sous 24 h et reprises inférieures à environ 15 %</w:t>
            </w:r>
          </w:p>
        </w:tc>
      </w:tr>
      <w:tr>
        <w:tc>
          <w:tcPr>
            <w:tcW w:type="dxa" w:w="33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Économie unitaire</w:t>
            </w:r>
          </w:p>
        </w:tc>
        <w:tc>
          <w:tcPr>
            <w:tcW w:type="dxa" w:w="60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Coût complet connu et marge contributive positive sur les visites payantes</w:t>
            </w:r>
          </w:p>
        </w:tc>
      </w:tr>
      <w:tr>
        <w:tc>
          <w:tcPr>
            <w:tcW w:type="dxa" w:w="33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Répétition</w:t>
            </w:r>
          </w:p>
        </w:tc>
        <w:tc>
          <w:tcPr>
            <w:tcW w:type="dxa" w:w="60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Renouvellement, deuxième commande ou extension documentée</w:t>
            </w:r>
          </w:p>
        </w:tc>
      </w:tr>
      <w:tr>
        <w:tc>
          <w:tcPr>
            <w:tcW w:type="dxa" w:w="33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Données</w:t>
            </w:r>
          </w:p>
        </w:tc>
        <w:tc>
          <w:tcPr>
            <w:tcW w:type="dxa" w:w="60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Consentement traçable, retrait testé et aucun incident critique</w:t>
            </w:r>
          </w:p>
        </w:tc>
      </w:tr>
    </w:tbl>
    <w:p>
      <w:pPr>
        <w:spacing w:after="40"/>
      </w:pPr>
    </w:p>
    <w:p>
      <w:r>
        <w:br w:type="page"/>
      </w:r>
    </w:p>
    <w:p>
      <w:pPr>
        <w:pStyle w:val="Heading1"/>
      </w:pPr>
      <w:r>
        <w:t>5. Contrôle de version et sources</w:t>
      </w:r>
    </w:p>
    <w:tbl>
      <w:tblPr>
        <w:tblStyle w:val="TableGrid"/>
        <w:tblW w:type="dxa" w:w="9360"/>
        <w:jc w:val="center"/>
        <w:tblLayout w:type="fixed"/>
        <w:tblLook w:firstColumn="1" w:firstRow="1" w:lastColumn="0" w:lastRow="0" w:noHBand="0" w:noVBand="1" w:val="04A0"/>
        <w:tblInd w:w="120" w:type="dxa"/>
      </w:tblPr>
      <w:tblGrid>
        <w:gridCol w:w="9360"/>
      </w:tblGrid>
      <w:tr>
        <w:tc>
          <w:tcPr>
            <w:tcW w:type="dxa" w:w="9360"/>
            <w:tcMar>
              <w:top w:w="120" w:type="dxa"/>
              <w:start w:w="140" w:type="dxa"/>
              <w:bottom w:w="120" w:type="dxa"/>
              <w:end w:w="140" w:type="dxa"/>
            </w:tcMar>
            <w:vAlign w:val="center"/>
            <w:shd w:fill="E8F2ED"/>
          </w:tcPr>
          <w:p>
            <w:pPr>
              <w:spacing w:after="60"/>
            </w:pPr>
            <w:r/>
            <w:r>
              <w:rPr>
                <w:rFonts w:ascii="Arial" w:hAnsi="Arial"/>
                <w:b/>
                <w:color w:val="116149"/>
                <w:sz w:val="18"/>
              </w:rPr>
              <w:t>SOURCE UNIQUE</w:t>
            </w:r>
          </w:p>
          <w:p>
            <w:pPr>
              <w:spacing w:after="0" w:line="269" w:lineRule="auto"/>
            </w:pPr>
            <w:r>
              <w:rPr>
                <w:rFonts w:ascii="Arial" w:hAnsi="Arial"/>
                <w:color w:val="17251F"/>
                <w:sz w:val="21"/>
              </w:rPr>
              <w:t>Le fichier 11_Deggal_Modele_Financier_36_Mois_FR.xlsx de la data room est la source de référence pour le scénario consolidé. Le site et la présente analyse doivent reprendre ses valeurs arrondies.</w:t>
            </w:r>
          </w:p>
        </w:tc>
      </w:tr>
    </w:tbl>
    <w:p>
      <w:pPr>
        <w:spacing w:after="20"/>
      </w:pPr>
    </w:p>
    <w:tbl>
      <w:tblPr>
        <w:tblStyle w:val="TableGrid"/>
        <w:tblW w:type="dxa" w:w="9360"/>
        <w:tblLayout w:type="fixed"/>
        <w:tblLook w:firstColumn="1" w:firstRow="1" w:lastColumn="0" w:lastRow="0" w:noHBand="0" w:noVBand="1" w:val="04A0"/>
        <w:jc w:val="center"/>
        <w:tblInd w:w="120" w:type="dxa"/>
      </w:tblPr>
      <w:tblGrid>
        <w:gridCol w:w="3900"/>
        <w:gridCol w:w="5460"/>
      </w:tblGrid>
      <w:tr>
        <w:tc>
          <w:tcPr>
            <w:tcW w:type="dxa" w:w="390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Élément</w:t>
            </w:r>
          </w:p>
        </w:tc>
        <w:tc>
          <w:tcPr>
            <w:tcW w:type="dxa" w:w="5460"/>
            <w:tcMar>
              <w:top w:w="120" w:type="dxa"/>
              <w:start w:w="140" w:type="dxa"/>
              <w:bottom w:w="120" w:type="dxa"/>
              <w:end w:w="140" w:type="dxa"/>
            </w:tcMar>
            <w:vAlign w:val="center"/>
            <w:shd w:fill="0B3B2E"/>
          </w:tcPr>
          <w:p>
            <w:pPr>
              <w:spacing w:before="0" w:after="0" w:line="252" w:lineRule="auto"/>
              <w:jc w:val="center"/>
            </w:pPr>
            <w:r/>
            <w:r>
              <w:rPr>
                <w:rFonts w:ascii="Arial" w:hAnsi="Arial"/>
                <w:b/>
                <w:color w:val="FFFFFF"/>
                <w:sz w:val="18"/>
              </w:rPr>
              <w:t>Statut au 13 juillet 2026</w:t>
            </w:r>
          </w:p>
        </w:tc>
      </w:tr>
      <w:tr>
        <w:tc>
          <w:tcPr>
            <w:tcW w:type="dxa" w:w="39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Ancien scénario positif M2 / M3</w:t>
            </w:r>
          </w:p>
        </w:tc>
        <w:tc>
          <w:tcPr>
            <w:tcW w:type="dxa" w:w="54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Retiré et remplacé</w:t>
            </w:r>
          </w:p>
        </w:tc>
      </w:tr>
      <w:tr>
        <w:tc>
          <w:tcPr>
            <w:tcW w:type="dxa" w:w="39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Analyse financière publique</w:t>
            </w:r>
          </w:p>
        </w:tc>
        <w:tc>
          <w:tcPr>
            <w:tcW w:type="dxa" w:w="54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Version consolidée, alignée sur le modèle 36 mois</w:t>
            </w:r>
          </w:p>
        </w:tc>
      </w:tr>
      <w:tr>
        <w:tc>
          <w:tcPr>
            <w:tcW w:type="dxa" w:w="390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Page d’accueil</w:t>
            </w:r>
          </w:p>
        </w:tc>
        <w:tc>
          <w:tcPr>
            <w:tcW w:type="dxa" w:w="5460"/>
            <w:shd w:fill="FFFFFF"/>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Pertes M1 à M3 et point mort février 2028</w:t>
            </w:r>
          </w:p>
        </w:tc>
      </w:tr>
      <w:tr>
        <w:tc>
          <w:tcPr>
            <w:tcW w:type="dxa" w:w="390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Data room</w:t>
            </w:r>
          </w:p>
        </w:tc>
        <w:tc>
          <w:tcPr>
            <w:tcW w:type="dxa" w:w="5460"/>
            <w:shd w:fill="F3F6F4"/>
            <w:tcMar>
              <w:top w:w="120" w:type="dxa"/>
              <w:start w:w="140" w:type="dxa"/>
              <w:bottom w:w="120" w:type="dxa"/>
              <w:end w:w="140" w:type="dxa"/>
            </w:tcMar>
            <w:vAlign w:val="center"/>
          </w:tcPr>
          <w:p>
            <w:pPr>
              <w:spacing w:before="0" w:after="0" w:line="252" w:lineRule="auto"/>
              <w:jc w:val="left"/>
            </w:pPr>
            <w:r/>
            <w:r>
              <w:rPr>
                <w:rFonts w:ascii="Arial" w:hAnsi="Arial"/>
                <w:b/>
                <w:color w:val="17251F"/>
                <w:sz w:val="19"/>
              </w:rPr>
              <w:t>Modèle 36 mois, business plan et présente analyse consolidée</w:t>
            </w:r>
          </w:p>
        </w:tc>
      </w:tr>
    </w:tbl>
    <w:p>
      <w:pPr>
        <w:spacing w:after="40"/>
      </w:pPr>
    </w:p>
    <w:p>
      <w:pPr>
        <w:pStyle w:val="Heading2"/>
      </w:pPr>
      <w:r>
        <w:t>Limites</w:t>
      </w:r>
    </w:p>
    <w:p>
      <w:pPr>
        <w:spacing w:before="0" w:after="140" w:line="276" w:lineRule="auto"/>
        <w:jc w:val="left"/>
      </w:pPr>
      <w:r>
        <w:rPr>
          <w:rFonts w:ascii="Arial" w:hAnsi="Arial"/>
          <w:b w:val="0"/>
          <w:i w:val="0"/>
          <w:color w:val="17251F"/>
          <w:sz w:val="21"/>
        </w:rPr>
        <w:t>Le modèle n’est pas audité. Les hypothèses de prix, de volumes, de productivité terrain, de conversion et de dépenses devront être remplacées progressivement par des données réelles. Les sujets juridiques, fiscaux, de protection des données et de propriété intellectuelle nécessitent une validation professionnelle au Sénégal.</w:t>
      </w:r>
    </w:p>
    <w:p>
      <w:pPr>
        <w:pStyle w:val="Heading2"/>
      </w:pPr>
      <w:r>
        <w:t>Décision financière recommandée</w:t>
      </w:r>
    </w:p>
    <w:p>
      <w:pPr>
        <w:spacing w:before="0" w:after="140" w:line="276" w:lineRule="auto"/>
        <w:jc w:val="left"/>
      </w:pPr>
      <w:r>
        <w:rPr>
          <w:rFonts w:ascii="Arial" w:hAnsi="Arial"/>
          <w:b/>
          <w:i w:val="0"/>
          <w:color w:val="0B3B2E"/>
          <w:sz w:val="26"/>
        </w:rPr>
        <w:t>Oui pour financer et encadrer un pilote contrôlé. Non pour une prise de participation ou le financement d’une phase de croissance tant que les preuves de paiement, d’usage, de répétition et de marge contributive ne sont pas établies.</w:t>
      </w:r>
    </w:p>
    <w:p>
      <w:pPr>
        <w:spacing w:before="480" w:after="140" w:line="276" w:lineRule="auto"/>
        <w:jc w:val="center"/>
      </w:pPr>
      <w:r>
        <w:rPr>
          <w:rFonts w:ascii="Arial" w:hAnsi="Arial"/>
          <w:b w:val="0"/>
          <w:i w:val="0"/>
          <w:color w:val="5C6E65"/>
          <w:sz w:val="17"/>
        </w:rPr>
        <w:t>Dëggal  |  Analyse financière consolidée  |  Version du 13 juillet 2026</w:t>
      </w:r>
    </w:p>
    <w:sectPr w:rsidR="00FC693F" w:rsidRPr="0006063C" w:rsidSect="00034616">
      <w:headerReference w:type="default" r:id="rId9"/>
      <w:footerReference w:type="default" r:id="rId10"/>
      <w:pgSz w:w="12240" w:h="15840"/>
      <w:pgMar w:top="1123" w:right="1238" w:bottom="1037" w:left="1238"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color w:val="5C6E65"/>
        <w:sz w:val="17"/>
      </w:rPr>
      <w:t xml:space="preserve">Page </w:t>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Arial" w:hAnsi="Arial"/>
        <w:b/>
        <w:color w:val="0B3B2E"/>
        <w:sz w:val="17"/>
      </w:rPr>
      <w:t>Dëggal  |  Analyse financière consolidée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76" w:lineRule="auto"/>
    </w:pPr>
    <w:rPr>
      <w:rFonts w:ascii="Arial" w:hAnsi="Arial"/>
      <w:color w:val="17251F"/>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40"/>
      <w:outlineLvl w:val="0"/>
    </w:pPr>
    <w:rPr>
      <w:rFonts w:asciiTheme="majorHAnsi" w:eastAsiaTheme="majorEastAsia" w:hAnsiTheme="majorHAnsi" w:cstheme="majorBidi" w:ascii="Arial" w:hAnsi="Arial"/>
      <w:b/>
      <w:bCs/>
      <w:color w:val="0B3B2E"/>
      <w:sz w:val="36"/>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Arial" w:hAnsi="Arial"/>
      <w:b/>
      <w:bCs/>
      <w:color w:val="116149"/>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rial" w:hAnsi="Arial"/>
      <w:b/>
      <w:bCs/>
      <w:color w:val="5C6E65"/>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Dëggal - Analyse financière consolidée</dc:title>
  <dc:subject>Scénario de base 36 mois et financement du pilote Dakar</dc:subject>
  <dc:creator>Dëggal</dc:creator>
  <cp:keywords>Dëggal, pilote Dakar, analyse financière, scénario consolidé</cp:keywords>
  <dc:description>generated by python-docx</dc:description>
  <cp:lastModifiedBy/>
  <cp:revision>1</cp:revision>
  <dcterms:created xsi:type="dcterms:W3CDTF">2013-12-23T23:15:00Z</dcterms:created>
  <dcterms:modified xsi:type="dcterms:W3CDTF">2013-12-23T23:15:00Z</dcterms:modified>
  <cp:category/>
</cp:coreProperties>
</file>