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00"/>
        <w:jc w:val="center"/>
      </w:pPr>
      <w:r>
        <w:rPr>
          <w:rFonts w:ascii="Cabin" w:hAnsi="Cabin"/>
          <w:b/>
          <w:color w:val="0B5947"/>
          <w:sz w:val="24"/>
        </w:rPr>
        <w:t>DËGGAL</w:t>
      </w:r>
    </w:p>
    <w:p>
      <w:pPr>
        <w:spacing w:after="240"/>
        <w:jc w:val="center"/>
      </w:pPr>
      <w:r>
        <w:rPr>
          <w:sz w:val="15"/>
        </w:rPr>
        <w:t>INFRASTRUCTURE DE PREUVE POUR LES ACTIVITÉS ÉCONOMIQUES INFORMELLES</w:t>
      </w:r>
    </w:p>
    <w:p>
      <w:pPr>
        <w:jc w:val="center"/>
      </w:pPr>
      <w:r/>
    </w:p>
    <w:p>
      <w:pPr>
        <w:spacing w:before="160" w:after="60"/>
        <w:jc w:val="center"/>
      </w:pPr>
      <w:r>
        <w:rPr>
          <w:rFonts w:ascii="Cabin" w:hAnsi="Cabin"/>
          <w:b/>
          <w:color w:val="D4A936"/>
          <w:sz w:val="18"/>
        </w:rPr>
        <w:t>REGISTRE DE GOUVERNANCE</w:t>
      </w:r>
    </w:p>
    <w:p>
      <w:pPr>
        <w:pStyle w:val="Title"/>
        <w:jc w:val="center"/>
      </w:pPr>
      <w:r>
        <w:t>Registre des hypothèses, lacunes et décisions</w:t>
      </w:r>
    </w:p>
    <w:p>
      <w:pPr>
        <w:pStyle w:val="Subtitle"/>
        <w:jc w:val="center"/>
      </w:pPr>
      <w:r>
        <w:t>Traçabilité des informations non confirmées et plan de fermeture avant diffusion externe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2041"/>
            <w:shd w:fill="0B5947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rPr>
                <w:b/>
                <w:color w:val="FFFFFF"/>
              </w:rPr>
              <w:t>Statut</w:t>
            </w:r>
          </w:p>
        </w:tc>
        <w:tc>
          <w:tcPr>
            <w:tcW w:type="dxa" w:w="6237"/>
            <w:shd w:fill="F2F4F3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t>Édition consolidée - registre vivant à mettre à jour à chaque décision</w:t>
            </w:r>
          </w:p>
        </w:tc>
      </w:tr>
      <w:tr>
        <w:tc>
          <w:tcPr>
            <w:tcW w:type="dxa" w:w="2041"/>
            <w:shd w:fill="EAF3E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rPr>
                <w:b/>
              </w:rPr>
              <w:t>Édition</w:t>
            </w:r>
          </w:p>
        </w:tc>
        <w:tc>
          <w:tcPr>
            <w:tcW w:type="dxa" w:w="6237"/>
            <w:shd w:fill="FFFFF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t>Consolidée</w:t>
            </w:r>
          </w:p>
        </w:tc>
      </w:tr>
      <w:tr>
        <w:tc>
          <w:tcPr>
            <w:tcW w:type="dxa" w:w="2041"/>
            <w:shd w:fill="EAF3E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rPr>
                <w:b/>
              </w:rPr>
              <w:t>Audience</w:t>
            </w:r>
          </w:p>
        </w:tc>
        <w:tc>
          <w:tcPr>
            <w:tcW w:type="dxa" w:w="6237"/>
            <w:shd w:fill="F2F4F3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t>Direction, comité pilote, finance, juridique, données, opérations et investisseurs</w:t>
            </w:r>
          </w:p>
        </w:tc>
      </w:tr>
      <w:tr>
        <w:tc>
          <w:tcPr>
            <w:tcW w:type="dxa" w:w="2041"/>
            <w:shd w:fill="EAF3E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rPr>
                <w:b/>
              </w:rPr>
              <w:t>Édition</w:t>
            </w:r>
          </w:p>
        </w:tc>
        <w:tc>
          <w:tcPr>
            <w:tcW w:type="dxa" w:w="6237"/>
            <w:shd w:fill="FFFFF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t>12 juillet 2026</w:t>
            </w:r>
          </w:p>
        </w:tc>
      </w:tr>
    </w:tbl>
    <w:p/>
    <w:p>
      <w:pPr>
        <w:jc w:val="center"/>
      </w:pPr>
      <w:r>
        <w:rPr>
          <w:b/>
          <w:color w:val="443A78"/>
          <w:sz w:val="16"/>
        </w:rPr>
        <w:t>Confidentiel - diffusion contrôlée</w:t>
      </w:r>
    </w:p>
    <w:p>
      <w:pPr>
        <w:jc w:val="center"/>
      </w:pPr>
      <w:r>
        <w:rPr>
          <w:i/>
          <w:color w:val="6D7471"/>
          <w:sz w:val="15"/>
        </w:rPr>
        <w:t>Les objectifs et hypothèses ne doivent pas être présentés comme des résultats obtenus.</w:t>
      </w:r>
    </w:p>
    <w:p>
      <w:pPr>
        <w:sectPr>
          <w:headerReference w:type="default" r:id="rId12"/>
          <w:footerReference w:type="default" r:id="rId13"/>
          <w:pgSz w:w="11906" w:h="16838"/>
          <w:pgMar w:top="1134" w:right="1134" w:bottom="1134" w:left="1134" w:header="720" w:footer="720" w:gutter="0"/>
          <w:cols w:space="720"/>
          <w:titlePg/>
          <w:docGrid w:linePitch="360"/>
        </w:sectPr>
      </w:pPr>
    </w:p>
    <w:p>
      <w:pPr>
        <w:spacing w:before="60" w:after="40"/>
      </w:pPr>
      <w:r>
        <w:rPr>
          <w:rFonts w:ascii="Cabin" w:hAnsi="Cabin"/>
          <w:b/>
          <w:color w:val="D4A936"/>
          <w:sz w:val="16"/>
        </w:rPr>
        <w:t>NE PAS CONFONDRE HYPOTHÈSE ET FAIT</w:t>
      </w:r>
    </w:p>
    <w:p>
      <w:pPr>
        <w:pStyle w:val="Title"/>
        <w:jc w:val="left"/>
      </w:pPr>
      <w:r>
        <w:t>Registre des hypothèses, lacunes et décisions</w:t>
      </w:r>
    </w:p>
    <w:p>
      <w:pPr>
        <w:pStyle w:val="Subtitle"/>
        <w:jc w:val="left"/>
      </w:pPr>
      <w:r>
        <w:t>Chaque élément non démontré reçoit un propriétaire, une méthode de validation et une échéance.</w:t>
      </w:r>
    </w:p>
    <w:p>
      <w:pPr>
        <w:spacing w:after="120"/>
        <w:pBdr>
          <w:bottom w:val="single" w:sz="12" w:space="1" w:color="D4A936"/>
        </w:pBdr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2F4F3"/>
          </w:tcPr>
          <w:p>
            <w:pPr>
              <w:pStyle w:val="KPIvalue"/>
              <w:jc w:val="center"/>
            </w:pPr>
            <w:r/>
            <w:r>
              <w:t>32</w:t>
            </w:r>
          </w:p>
          <w:p>
            <w:pPr>
              <w:pStyle w:val="KPIlabel"/>
              <w:jc w:val="center"/>
            </w:pPr>
            <w:r>
              <w:t>hypothèses recensées</w:t>
            </w:r>
          </w:p>
        </w:tc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FFFFF"/>
          </w:tcPr>
          <w:p>
            <w:pPr>
              <w:pStyle w:val="KPIvalue"/>
              <w:jc w:val="center"/>
            </w:pPr>
            <w:r/>
            <w:r>
              <w:t>8</w:t>
            </w:r>
          </w:p>
          <w:p>
            <w:pPr>
              <w:pStyle w:val="KPIlabel"/>
              <w:jc w:val="center"/>
            </w:pPr>
            <w:r>
              <w:t>bloquantes</w:t>
            </w:r>
          </w:p>
        </w:tc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2F4F3"/>
          </w:tcPr>
          <w:p>
            <w:pPr>
              <w:pStyle w:val="KPIvalue"/>
              <w:jc w:val="center"/>
            </w:pPr>
            <w:r/>
            <w:r>
              <w:t>4</w:t>
            </w:r>
          </w:p>
          <w:p>
            <w:pPr>
              <w:pStyle w:val="KPIlabel"/>
              <w:jc w:val="center"/>
            </w:pPr>
            <w:r>
              <w:t>catégories de preuve</w:t>
            </w:r>
          </w:p>
        </w:tc>
      </w:tr>
      <w:tr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FFFFF"/>
          </w:tcPr>
          <w:p>
            <w:pPr>
              <w:pStyle w:val="KPIvalue"/>
              <w:jc w:val="center"/>
            </w:pPr>
            <w:r/>
            <w:r>
              <w:t>3</w:t>
            </w:r>
          </w:p>
          <w:p>
            <w:pPr>
              <w:pStyle w:val="KPIlabel"/>
              <w:jc w:val="center"/>
            </w:pPr>
            <w:r>
              <w:t>gates financiers</w:t>
            </w:r>
          </w:p>
        </w:tc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2F4F3"/>
          </w:tcPr>
          <w:p>
            <w:pPr>
              <w:pStyle w:val="KPIvalue"/>
              <w:jc w:val="center"/>
            </w:pPr>
            <w:r/>
            <w:r>
              <w:t>1</w:t>
            </w:r>
          </w:p>
          <w:p>
            <w:pPr>
              <w:pStyle w:val="KPIlabel"/>
              <w:jc w:val="center"/>
            </w:pPr>
            <w:r>
              <w:t>source de vérité</w:t>
            </w:r>
          </w:p>
        </w:tc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FFFFF"/>
          </w:tcPr>
          <w:p>
            <w:pPr>
              <w:pStyle w:val="KPIvalue"/>
              <w:jc w:val="center"/>
            </w:pPr>
            <w:r/>
            <w:r>
              <w:t>Mensuel</w:t>
            </w:r>
          </w:p>
          <w:p>
            <w:pPr>
              <w:pStyle w:val="KPIlabel"/>
              <w:jc w:val="center"/>
            </w:pPr>
            <w:r>
              <w:t>contrôle de version</w:t>
            </w:r>
          </w:p>
        </w:tc>
      </w:tr>
    </w:tbl>
    <w:p>
      <w:pPr>
        <w:spacing w:after="2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cantSplit/>
        </w:trPr>
        <w:tc>
          <w:tcPr>
            <w:tcW w:type="dxa" w:w="141"/>
            <w:shd w:fill="A33A2B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type="dxa" w:w="9072"/>
            <w:shd w:fill="F8E8E5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allouttitle"/>
            </w:pPr>
            <w:r>
              <w:t>Règle de publication</w:t>
            </w:r>
          </w:p>
          <w:p>
            <w:pPr>
              <w:pStyle w:val="Callouttext"/>
            </w:pPr>
            <w:r>
              <w:t>Un objectif, un prix testé, une intention ou une projection ne doit jamais être présenté comme une traction, un contrat, un résultat ou une conformité acquise.</w:t>
            </w:r>
          </w:p>
        </w:tc>
      </w:tr>
    </w:tbl>
    <w:p>
      <w:pPr>
        <w:spacing w:after="20" w:before="0"/>
      </w:pPr>
    </w:p>
    <w:p>
      <w:pPr>
        <w:pStyle w:val="Heading1"/>
        <w:keepNext/>
        <w:pageBreakBefore w:val="0"/>
      </w:pPr>
      <w:r>
        <w:t>Table des matières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8334"/>
            <w:shd w:fill="143B31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pStyle w:val="Tabletext"/>
            </w:pPr>
            <w:r>
              <w:rPr>
                <w:b/>
                <w:color w:val="FFFFFF"/>
              </w:rPr>
              <w:t>Section</w:t>
            </w:r>
          </w:p>
        </w:tc>
        <w:tc>
          <w:tcPr>
            <w:tcW w:type="dxa" w:w="1020"/>
            <w:shd w:fill="143B31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pStyle w:val="Tabletext"/>
            </w:pPr>
            <w:r>
              <w:rPr>
                <w:b/>
                <w:color w:val="FFFFFF"/>
              </w:rPr>
              <w:t>Page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1. Statuts et niveaux de preuve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1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2. Lacunes bloquantes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2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3. Registre des hypothèses stratégiques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2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4. Registre des hypothèses opérationnelles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3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5. Registre des hypothèses commerciales et financières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3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6. Registre des hypothèses juridiques et données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4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7. Incohérences corrigées dans le pack consolidé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4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8. Journal de décisions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5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9. Contrôle de version de la data room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5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10. Processus de fermeture d’une lacune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5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11. Sources et limites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6</w:t>
            </w:r>
          </w:p>
        </w:tc>
      </w:tr>
    </w:tbl>
    <w:p>
      <w:pPr>
        <w:pStyle w:val="Heading1"/>
        <w:keepNext/>
        <w:pageBreakBefore w:val="0"/>
      </w:pPr>
      <w:r>
        <w:t>1. Statuts et niveaux de preuve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rPr>
          <w:tblHeader w:val="true"/>
        </w:trPr>
        <w:tc>
          <w:tcPr>
            <w:tcW w:type="dxa" w:w="198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Statut</w:t>
            </w:r>
          </w:p>
        </w:tc>
        <w:tc>
          <w:tcPr>
            <w:tcW w:type="dxa" w:w="419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Définition</w:t>
            </w:r>
          </w:p>
        </w:tc>
        <w:tc>
          <w:tcPr>
            <w:tcW w:type="dxa" w:w="317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Formulation autorisée</w:t>
            </w:r>
          </w:p>
        </w:tc>
      </w:tr>
      <w:tr>
        <w:trPr>
          <w:cantSplit/>
        </w:trPr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Confirmé</w:t>
            </w:r>
          </w:p>
        </w:tc>
        <w:tc>
          <w:tcPr>
            <w:tcW w:type="dxa" w:w="419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Pièce, contrat, résultat ou source approuvée et datée.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« Confirmé au [date] par [preuve]. »</w:t>
            </w:r>
          </w:p>
        </w:tc>
      </w:tr>
      <w:tr>
        <w:trPr>
          <w:cantSplit/>
        </w:trPr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Partiellement confirmé</w:t>
            </w:r>
          </w:p>
        </w:tc>
        <w:tc>
          <w:tcPr>
            <w:tcW w:type="dxa" w:w="419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Certains éléments vérifiés, autres en attente.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« Confirmé pour [scope]; reste à vérifier [point]. »</w:t>
            </w:r>
          </w:p>
        </w:tc>
      </w:tr>
      <w:tr>
        <w:trPr>
          <w:cantSplit/>
        </w:trPr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Hypothèse</w:t>
            </w:r>
          </w:p>
        </w:tc>
        <w:tc>
          <w:tcPr>
            <w:tcW w:type="dxa" w:w="419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Valeur proposée pour planifier ou tester.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« Hypothèse de travail. »</w:t>
            </w:r>
          </w:p>
        </w:tc>
      </w:tr>
      <w:tr>
        <w:trPr>
          <w:cantSplit/>
        </w:trPr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Objectif</w:t>
            </w:r>
          </w:p>
        </w:tc>
        <w:tc>
          <w:tcPr>
            <w:tcW w:type="dxa" w:w="419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Résultat souhaité, non encore atteint.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« Cible du pilote. »</w:t>
            </w:r>
          </w:p>
        </w:tc>
      </w:tr>
      <w:tr>
        <w:trPr>
          <w:cantSplit/>
        </w:trPr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Projection</w:t>
            </w:r>
          </w:p>
        </w:tc>
        <w:tc>
          <w:tcPr>
            <w:tcW w:type="dxa" w:w="419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Résultat calculé à partir d’hypothèses.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« Scénario, non prévision garantie. »</w:t>
            </w:r>
          </w:p>
        </w:tc>
      </w:tr>
      <w:tr>
        <w:trPr>
          <w:cantSplit/>
        </w:trPr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Bloquant</w:t>
            </w:r>
          </w:p>
        </w:tc>
        <w:tc>
          <w:tcPr>
            <w:tcW w:type="dxa" w:w="419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Information requise avant une action.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« Ne pas lancer / signer avant fermeture. »</w:t>
            </w:r>
          </w:p>
        </w:tc>
      </w:tr>
      <w:tr>
        <w:trPr>
          <w:cantSplit/>
        </w:trPr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Obsolète</w:t>
            </w:r>
          </w:p>
        </w:tc>
        <w:tc>
          <w:tcPr>
            <w:tcW w:type="dxa" w:w="419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Ancienne version remplacée.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« Ne pas utiliser - remplacé par [version]. »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170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Niveau</w:t>
            </w:r>
          </w:p>
        </w:tc>
        <w:tc>
          <w:tcPr>
            <w:tcW w:type="dxa" w:w="765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Preuve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P0</w:t>
            </w:r>
          </w:p>
        </w:tc>
        <w:tc>
          <w:tcPr>
            <w:tcW w:type="dxa" w:w="765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Aucune preuve ou opinion.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P1</w:t>
            </w:r>
          </w:p>
        </w:tc>
        <w:tc>
          <w:tcPr>
            <w:tcW w:type="dxa" w:w="765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Entretien ou déclaration unique documentée.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P2</w:t>
            </w:r>
          </w:p>
        </w:tc>
        <w:tc>
          <w:tcPr>
            <w:tcW w:type="dxa" w:w="765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Plusieurs sources concordantes ou observation contrôlée.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P3</w:t>
            </w:r>
          </w:p>
        </w:tc>
        <w:tc>
          <w:tcPr>
            <w:tcW w:type="dxa" w:w="765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Pièce, journal, commande, contrat ou mesure reproductible.</w:t>
            </w:r>
          </w:p>
        </w:tc>
      </w:tr>
      <w:tr>
        <w:trPr>
          <w:cantSplit/>
        </w:trPr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P4</w:t>
            </w:r>
          </w:p>
        </w:tc>
        <w:tc>
          <w:tcPr>
            <w:tcW w:type="dxa" w:w="765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Preuve auditée, vérifiée indépendamment ou résultat répété.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2. Lacunes bloquantes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92"/>
        <w:gridCol w:w="1592"/>
        <w:gridCol w:w="1592"/>
        <w:gridCol w:w="1592"/>
        <w:gridCol w:w="1592"/>
        <w:gridCol w:w="1592"/>
      </w:tblGrid>
      <w:tr>
        <w:trPr>
          <w:tblHeader w:val="true"/>
        </w:trPr>
        <w:tc>
          <w:tcPr>
            <w:tcW w:type="dxa" w:w="73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147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Sujet</w:t>
            </w:r>
          </w:p>
        </w:tc>
        <w:tc>
          <w:tcPr>
            <w:tcW w:type="dxa" w:w="294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Lacune</w:t>
            </w:r>
          </w:p>
        </w:tc>
        <w:tc>
          <w:tcPr>
            <w:tcW w:type="dxa" w:w="170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Propriétaire</w:t>
            </w:r>
          </w:p>
        </w:tc>
        <w:tc>
          <w:tcPr>
            <w:tcW w:type="dxa" w:w="226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Preuve de fermeture</w:t>
            </w:r>
          </w:p>
        </w:tc>
        <w:tc>
          <w:tcPr>
            <w:tcW w:type="dxa" w:w="136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Gate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B-01</w:t>
            </w:r>
          </w:p>
        </w:tc>
        <w:tc>
          <w:tcPr>
            <w:tcW w:type="dxa" w:w="14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Entité porteuse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Dénomination, forme, RCCM/NINEA, siège et représentant.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Direction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Pièces légales et pouvoir.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Avant contrat / collecte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B-02</w:t>
            </w:r>
          </w:p>
        </w:tc>
        <w:tc>
          <w:tcPr>
            <w:tcW w:type="dxa" w:w="14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Cadre données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Rôles, bases, formalités et version applicable.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Juridique + données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Avis écrit et démarches.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Avant collecte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B-03</w:t>
            </w:r>
          </w:p>
        </w:tc>
        <w:tc>
          <w:tcPr>
            <w:tcW w:type="dxa" w:w="14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Architecture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Outils, hébergement, sous-traitants, localisation et accès.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Technologie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Schéma et contrats.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Avant mise en production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B-04</w:t>
            </w:r>
          </w:p>
        </w:tc>
        <w:tc>
          <w:tcPr>
            <w:tcW w:type="dxa" w:w="14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Équipe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Noms, fonctions, disponibilité, contrats et compétences.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Direction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Organigramme et dossiers RH.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Avant formation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B-05</w:t>
            </w:r>
          </w:p>
        </w:tc>
        <w:tc>
          <w:tcPr>
            <w:tcW w:type="dxa" w:w="14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Financement pilote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Disponibilité réelle de 2,5 M FCFA et conditions.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Finance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Relevé / convention / décision.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Avant engagement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B-06</w:t>
            </w:r>
          </w:p>
        </w:tc>
        <w:tc>
          <w:tcPr>
            <w:tcW w:type="dxa" w:w="14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Zones et sécurité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Autorisations, itinéraires, risques et responsables.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Opérations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Fiches de zone approuvées.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Avant terrain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B-07</w:t>
            </w:r>
          </w:p>
        </w:tc>
        <w:tc>
          <w:tcPr>
            <w:tcW w:type="dxa" w:w="14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Partenaire pilote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Cas d’usage, finalité, budget, utilisateurs et contrat.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Partenariats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LOI détaillée / commande.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Avant partage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B-08</w:t>
            </w:r>
          </w:p>
        </w:tc>
        <w:tc>
          <w:tcPr>
            <w:tcW w:type="dxa" w:w="14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Canal droits / incident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Contacts, outils, procédure et exercice.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Responsable données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Test réussi et journal.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Avant collecte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3. Registre des hypothèses stratégiques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92"/>
        <w:gridCol w:w="1592"/>
        <w:gridCol w:w="1592"/>
        <w:gridCol w:w="1592"/>
        <w:gridCol w:w="1592"/>
        <w:gridCol w:w="1592"/>
      </w:tblGrid>
      <w:tr>
        <w:trPr>
          <w:tblHeader w:val="true"/>
        </w:trPr>
        <w:tc>
          <w:tcPr>
            <w:tcW w:type="dxa" w:w="73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351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Hypothèse</w:t>
            </w:r>
          </w:p>
        </w:tc>
        <w:tc>
          <w:tcPr>
            <w:tcW w:type="dxa" w:w="119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Statut</w:t>
            </w:r>
          </w:p>
        </w:tc>
        <w:tc>
          <w:tcPr>
            <w:tcW w:type="dxa" w:w="289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Test</w:t>
            </w:r>
          </w:p>
        </w:tc>
        <w:tc>
          <w:tcPr>
            <w:tcW w:type="dxa" w:w="158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Propriétaire</w:t>
            </w:r>
          </w:p>
        </w:tc>
        <w:tc>
          <w:tcPr>
            <w:tcW w:type="dxa" w:w="90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Échéance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H-01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Les petits opérateurs perçoivent la valeur d’un passeport de preuve.</w:t>
            </w:r>
          </w:p>
        </w:tc>
        <w:tc>
          <w:tcPr>
            <w:tcW w:type="dxa" w:w="119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Hypothèse</w:t>
            </w:r>
          </w:p>
        </w:tc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Entretiens + taux d’achèvement + retour à 30 jours.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Produit</w:t>
            </w:r>
          </w:p>
        </w:tc>
        <w:tc>
          <w:tcPr>
            <w:tcW w:type="dxa" w:w="90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J30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H-02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Une expérience assistée améliore la compréhension et la complétude.</w:t>
            </w:r>
          </w:p>
        </w:tc>
        <w:tc>
          <w:tcPr>
            <w:tcW w:type="dxa" w:w="119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Hypothèse</w:t>
            </w:r>
          </w:p>
        </w:tc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Comparer assisté vs formulaire sur échantillon.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Opérations</w:t>
            </w:r>
          </w:p>
        </w:tc>
        <w:tc>
          <w:tcPr>
            <w:tcW w:type="dxa" w:w="90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J21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H-03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Les partenaires ont un coût significatif de vérification terrain.</w:t>
            </w:r>
          </w:p>
        </w:tc>
        <w:tc>
          <w:tcPr>
            <w:tcW w:type="dxa" w:w="119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Hypothèse</w:t>
            </w:r>
          </w:p>
        </w:tc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Baseline temps, visites, reprises et coût.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Partenariats</w:t>
            </w:r>
          </w:p>
        </w:tc>
        <w:tc>
          <w:tcPr>
            <w:tcW w:type="dxa" w:w="90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J14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H-04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Deux segments suffisent pour le pilote.</w:t>
            </w:r>
          </w:p>
        </w:tc>
        <w:tc>
          <w:tcPr>
            <w:tcW w:type="dxa" w:w="119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Hypothèse</w:t>
            </w:r>
          </w:p>
        </w:tc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Taux de qualification et cycle par segment.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Direction</w:t>
            </w:r>
          </w:p>
        </w:tc>
        <w:tc>
          <w:tcPr>
            <w:tcW w:type="dxa" w:w="90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J30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H-05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La vue filtrée est plus acceptable que le dossier brut.</w:t>
            </w:r>
          </w:p>
        </w:tc>
        <w:tc>
          <w:tcPr>
            <w:tcW w:type="dxa" w:w="119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Hypothèse</w:t>
            </w:r>
          </w:p>
        </w:tc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Test de compréhension et demande partenaire.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Données</w:t>
            </w:r>
          </w:p>
        </w:tc>
        <w:tc>
          <w:tcPr>
            <w:tcW w:type="dxa" w:w="90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J21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H-06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Dëggal peut se positionner sans être assimilé au crédit.</w:t>
            </w:r>
          </w:p>
        </w:tc>
        <w:tc>
          <w:tcPr>
            <w:tcW w:type="dxa" w:w="119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Hypothèse</w:t>
            </w:r>
          </w:p>
        </w:tc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Test de message et incidents de compréhension.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Marketing</w:t>
            </w:r>
          </w:p>
        </w:tc>
        <w:tc>
          <w:tcPr>
            <w:tcW w:type="dxa" w:w="90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J14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H-07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La preuve d’activité peut être actualisée à coût raisonnable.</w:t>
            </w:r>
          </w:p>
        </w:tc>
        <w:tc>
          <w:tcPr>
            <w:tcW w:type="dxa" w:w="119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Hypothèse</w:t>
            </w:r>
          </w:p>
        </w:tc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Coût de nouvelle visite et fréquence utile.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Opérations</w:t>
            </w:r>
          </w:p>
        </w:tc>
        <w:tc>
          <w:tcPr>
            <w:tcW w:type="dxa" w:w="90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J30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H-08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Un partenaire acceptera de payer avant industrialisation.</w:t>
            </w:r>
          </w:p>
        </w:tc>
        <w:tc>
          <w:tcPr>
            <w:tcW w:type="dxa" w:w="119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Objectif</w:t>
            </w:r>
          </w:p>
        </w:tc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Commande, acompte, contrat ou LOI détaillée.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Direction commerciale</w:t>
            </w:r>
          </w:p>
        </w:tc>
        <w:tc>
          <w:tcPr>
            <w:tcW w:type="dxa" w:w="90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J30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4. Registre des hypothèses opérationnelles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911"/>
        <w:gridCol w:w="1911"/>
        <w:gridCol w:w="1911"/>
        <w:gridCol w:w="1911"/>
        <w:gridCol w:w="1911"/>
      </w:tblGrid>
      <w:tr>
        <w:trPr>
          <w:tblHeader w:val="true"/>
        </w:trPr>
        <w:tc>
          <w:tcPr>
            <w:tcW w:type="dxa" w:w="793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402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Hypothèse</w:t>
            </w:r>
          </w:p>
        </w:tc>
        <w:tc>
          <w:tcPr>
            <w:tcW w:type="dxa" w:w="294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Test</w:t>
            </w:r>
          </w:p>
        </w:tc>
        <w:tc>
          <w:tcPr>
            <w:tcW w:type="dxa" w:w="170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Propriétaire</w:t>
            </w:r>
          </w:p>
        </w:tc>
        <w:tc>
          <w:tcPr>
            <w:tcW w:type="dxa" w:w="102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Échéance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H-09</w:t>
            </w:r>
          </w:p>
        </w:tc>
        <w:tc>
          <w:tcPr>
            <w:tcW w:type="dxa" w:w="402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Un agent produit 4 à 6 dossiers complets par jour.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Test capacité réel, reprises incluses.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Opérations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J7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H-10</w:t>
            </w:r>
          </w:p>
        </w:tc>
        <w:tc>
          <w:tcPr>
            <w:tcW w:type="dxa" w:w="402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Le QA peut rendre une décision en moins de 24 h.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Horodatages et charge par validateur.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QA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J7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H-11</w:t>
            </w:r>
          </w:p>
        </w:tc>
        <w:tc>
          <w:tcPr>
            <w:tcW w:type="dxa" w:w="402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250 marchands peuvent être approchés dans le périmètre.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Cartographie, présence et disponibilité.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Terrain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J21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H-12</w:t>
            </w:r>
          </w:p>
        </w:tc>
        <w:tc>
          <w:tcPr>
            <w:tcW w:type="dxa" w:w="402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200 profils peuvent devenir partageables.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Consentement, complétude et qualité.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QA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J30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H-13</w:t>
            </w:r>
          </w:p>
        </w:tc>
        <w:tc>
          <w:tcPr>
            <w:tcW w:type="dxa" w:w="402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Le coût direct M1 reste à 2 161 500 FCFA.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Dépenses réelles et pièces.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Finance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Hebdo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H-14</w:t>
            </w:r>
          </w:p>
        </w:tc>
        <w:tc>
          <w:tcPr>
            <w:tcW w:type="dxa" w:w="402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La réserve de 338 500 FCFA reste conditionnelle.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Approbation documentée par usage.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Direction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Hebdo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H-15</w:t>
            </w:r>
          </w:p>
        </w:tc>
        <w:tc>
          <w:tcPr>
            <w:tcW w:type="dxa" w:w="402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Le taux de reprise reste inférieur à 15 %.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Registre QA et causes.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QA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Hebdo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H-16</w:t>
            </w:r>
          </w:p>
        </w:tc>
        <w:tc>
          <w:tcPr>
            <w:tcW w:type="dxa" w:w="402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Le protocole terrain reste sûr dans les zones retenues.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Incidents, near-miss et check-in.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Opérations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Quotidien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5. Registre des hypothèses commerciales et financières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911"/>
        <w:gridCol w:w="1911"/>
        <w:gridCol w:w="1911"/>
        <w:gridCol w:w="1911"/>
        <w:gridCol w:w="1911"/>
      </w:tblGrid>
      <w:tr>
        <w:trPr>
          <w:tblHeader w:val="true"/>
        </w:trPr>
        <w:tc>
          <w:tcPr>
            <w:tcW w:type="dxa" w:w="793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4082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Hypothèse</w:t>
            </w:r>
          </w:p>
        </w:tc>
        <w:tc>
          <w:tcPr>
            <w:tcW w:type="dxa" w:w="294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Test</w:t>
            </w:r>
          </w:p>
        </w:tc>
        <w:tc>
          <w:tcPr>
            <w:tcW w:type="dxa" w:w="170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Propriétaire</w:t>
            </w:r>
          </w:p>
        </w:tc>
        <w:tc>
          <w:tcPr>
            <w:tcW w:type="dxa" w:w="963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Échéance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H-17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Consultation ponctuelle à 15 000 FCFA.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3 tests de prix + coût de service.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Partenariats</w:t>
            </w:r>
          </w:p>
        </w:tc>
        <w:tc>
          <w:tcPr>
            <w:tcW w:type="dxa" w:w="9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J30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H-18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Accès base à 25 000 FCFA / mois.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Usage, budget et renouvellement.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Partenariats</w:t>
            </w:r>
          </w:p>
        </w:tc>
        <w:tc>
          <w:tcPr>
            <w:tcW w:type="dxa" w:w="9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J60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H-19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Visite commandée à 8 000 FCFA.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Distance, durée, reprise et marge.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Finance + ops</w:t>
            </w:r>
          </w:p>
        </w:tc>
        <w:tc>
          <w:tcPr>
            <w:tcW w:type="dxa" w:w="9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J30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H-20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500 FCFA / dossier additionnel couvre le service.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Coût marginal et support.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Finance</w:t>
            </w:r>
          </w:p>
        </w:tc>
        <w:tc>
          <w:tcPr>
            <w:tcW w:type="dxa" w:w="9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J60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H-21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2 500 FCFA / champ additionnel est acceptable.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Valeur, conformité et complexité.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Produit</w:t>
            </w:r>
          </w:p>
        </w:tc>
        <w:tc>
          <w:tcPr>
            <w:tcW w:type="dxa" w:w="9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J60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H-22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5 000 FCFA / utilisateur additionnel est acceptable.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Nombre de sièges et sécurité.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Commercial</w:t>
            </w:r>
          </w:p>
        </w:tc>
        <w:tc>
          <w:tcPr>
            <w:tcW w:type="dxa" w:w="9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J60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H-23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Le pack marché à 50 000 FCFA est licite et utile.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Avis juridique + prototype agrégé.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Données</w:t>
            </w:r>
          </w:p>
        </w:tc>
        <w:tc>
          <w:tcPr>
            <w:tcW w:type="dxa" w:w="9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J90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H-24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Le point mort mensuel base survient en février 2028.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Actualiser mensuellement hypothèses et réalisé.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Finance</w:t>
            </w:r>
          </w:p>
        </w:tc>
        <w:tc>
          <w:tcPr>
            <w:tcW w:type="dxa" w:w="9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Mensuel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H-25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Le besoin maximum de trésorerie base est proche de 30,1 M FCFA.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Plan de cash, encaissements et scénarios.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Finance</w:t>
            </w:r>
          </w:p>
        </w:tc>
        <w:tc>
          <w:tcPr>
            <w:tcW w:type="dxa" w:w="9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Mensuel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H-26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Le financement peut être séquencé 2,5 M / 12-15 M / 20-25 M.</w:t>
            </w:r>
          </w:p>
        </w:tc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Gates et conditions d’investisseur.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Direction</w:t>
            </w:r>
          </w:p>
        </w:tc>
        <w:tc>
          <w:tcPr>
            <w:tcW w:type="dxa" w:w="9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Avant levée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6. Registre des hypothèses juridiques et données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911"/>
        <w:gridCol w:w="1911"/>
        <w:gridCol w:w="1911"/>
        <w:gridCol w:w="1911"/>
        <w:gridCol w:w="1911"/>
      </w:tblGrid>
      <w:tr>
        <w:trPr>
          <w:tblHeader w:val="true"/>
        </w:trPr>
        <w:tc>
          <w:tcPr>
            <w:tcW w:type="dxa" w:w="793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402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Hypothèse</w:t>
            </w:r>
          </w:p>
        </w:tc>
        <w:tc>
          <w:tcPr>
            <w:tcW w:type="dxa" w:w="311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Test / preuve</w:t>
            </w:r>
          </w:p>
        </w:tc>
        <w:tc>
          <w:tcPr>
            <w:tcW w:type="dxa" w:w="170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Propriétaire</w:t>
            </w:r>
          </w:p>
        </w:tc>
        <w:tc>
          <w:tcPr>
            <w:tcW w:type="dxa" w:w="963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Gate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H-27</w:t>
            </w:r>
          </w:p>
        </w:tc>
        <w:tc>
          <w:tcPr>
            <w:tcW w:type="dxa" w:w="402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Le consentement peut soutenir les traitements pilotes envisagés.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Avis par finalité.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Juridique</w:t>
            </w:r>
          </w:p>
        </w:tc>
        <w:tc>
          <w:tcPr>
            <w:tcW w:type="dxa" w:w="9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Avant pilote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H-28</w:t>
            </w:r>
          </w:p>
        </w:tc>
        <w:tc>
          <w:tcPr>
            <w:tcW w:type="dxa" w:w="402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Les formalités CDP sont identifiées et réalisables.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Confirmation écrite et calendrier.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Juridique + données</w:t>
            </w:r>
          </w:p>
        </w:tc>
        <w:tc>
          <w:tcPr>
            <w:tcW w:type="dxa" w:w="9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Avant pilote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H-29</w:t>
            </w:r>
          </w:p>
        </w:tc>
        <w:tc>
          <w:tcPr>
            <w:tcW w:type="dxa" w:w="402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L’hébergement choisi est compatible avec les exigences.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Architecture, lieu, transferts et contrat.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Tech + juridique</w:t>
            </w:r>
          </w:p>
        </w:tc>
        <w:tc>
          <w:tcPr>
            <w:tcW w:type="dxa" w:w="9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Avant production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H-30</w:t>
            </w:r>
          </w:p>
        </w:tc>
        <w:tc>
          <w:tcPr>
            <w:tcW w:type="dxa" w:w="402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Les durées proposées sont proportionnées.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Avis et justification par finalité.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Données</w:t>
            </w:r>
          </w:p>
        </w:tc>
        <w:tc>
          <w:tcPr>
            <w:tcW w:type="dxa" w:w="9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Avant pilote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H-31</w:t>
            </w:r>
          </w:p>
        </w:tc>
        <w:tc>
          <w:tcPr>
            <w:tcW w:type="dxa" w:w="402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La référence de tiers peut être utilisée dans certains cas.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Analyse consentement tiers et alternative.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Juridique</w:t>
            </w:r>
          </w:p>
        </w:tc>
        <w:tc>
          <w:tcPr>
            <w:tcW w:type="dxa" w:w="9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Avant activation</w:t>
            </w:r>
          </w:p>
        </w:tc>
      </w:tr>
      <w:tr>
        <w:trPr>
          <w:cantSplit/>
        </w:trPr>
        <w:tc>
          <w:tcPr>
            <w:tcW w:type="dxa" w:w="7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H-32</w:t>
            </w:r>
          </w:p>
        </w:tc>
        <w:tc>
          <w:tcPr>
            <w:tcW w:type="dxa" w:w="402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Un rapport agrégé peut être produit sans risque de réidentification.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Seuil, méthode et test de réidentification.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Données</w:t>
            </w:r>
          </w:p>
        </w:tc>
        <w:tc>
          <w:tcPr>
            <w:tcW w:type="dxa" w:w="9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Avant offre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7. Incohérences corrigées dans le pack consolidé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rPr>
          <w:tblHeader w:val="true"/>
        </w:trPr>
        <w:tc>
          <w:tcPr>
            <w:tcW w:type="dxa" w:w="181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Sujet</w:t>
            </w:r>
          </w:p>
        </w:tc>
        <w:tc>
          <w:tcPr>
            <w:tcW w:type="dxa" w:w="3402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Ancienne lecture</w:t>
            </w:r>
          </w:p>
        </w:tc>
        <w:tc>
          <w:tcPr>
            <w:tcW w:type="dxa" w:w="4139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Correction consolidée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Budget M1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Deux bases ont circulé, dont 1 952 500 FCFA.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Référence harmonisée à 2 161 500 FCFA; 2,5 M avec réserve conditionnelle.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Coût par dossier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Mélange budget direct et volume.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8 646 FCFA pour 250 dossiers sur le budget direct - indicateur partiel.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Revenu M1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Chiffres dispersés.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Référence source harmonisée à 425 000 FCFA - hypothèse, pas traction.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Rentabilité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M2/M3 paraissaient positifs sans coût complet.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Le pack consolidé intègre direction, technologie, conformité, commercial et administration.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Marché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Taille implicite à partir de l’informalité.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TAM/SAM/SOM fondé sur capacité, zones, comptes et disposition à payer.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Partenaires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Liste pouvant sembler engagée.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Organisations traitées comme candidates à vérifier.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Conformité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Consentement présenté comme mécanisme principal.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Analyse par finalité, formalités, rôles, droits, sécurité et incident.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Traction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Objectifs et intentions proches des résultats.</w:t>
            </w:r>
          </w:p>
        </w:tc>
        <w:tc>
          <w:tcPr>
            <w:tcW w:type="dxa" w:w="413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Statuts « objectif », « hypothèse » et « preuve commerciale forte » séparés.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8. Journal de décisions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365"/>
        <w:gridCol w:w="1365"/>
        <w:gridCol w:w="1365"/>
        <w:gridCol w:w="1365"/>
        <w:gridCol w:w="1365"/>
        <w:gridCol w:w="1365"/>
        <w:gridCol w:w="1365"/>
      </w:tblGrid>
      <w:tr>
        <w:trPr>
          <w:tblHeader w:val="true"/>
        </w:trPr>
        <w:tc>
          <w:tcPr>
            <w:tcW w:type="dxa" w:w="68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3"/>
              </w:rPr>
              <w:t>ID</w:t>
            </w:r>
          </w:p>
        </w:tc>
        <w:tc>
          <w:tcPr>
            <w:tcW w:type="dxa" w:w="102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3"/>
              </w:rPr>
              <w:t>Date</w:t>
            </w:r>
          </w:p>
        </w:tc>
        <w:tc>
          <w:tcPr>
            <w:tcW w:type="dxa" w:w="198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3"/>
              </w:rPr>
              <w:t>Décision</w:t>
            </w:r>
          </w:p>
        </w:tc>
        <w:tc>
          <w:tcPr>
            <w:tcW w:type="dxa" w:w="181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3"/>
              </w:rPr>
              <w:t>Options rejetées</w:t>
            </w:r>
          </w:p>
        </w:tc>
        <w:tc>
          <w:tcPr>
            <w:tcW w:type="dxa" w:w="136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3"/>
              </w:rPr>
              <w:t>Décideur</w:t>
            </w:r>
          </w:p>
        </w:tc>
        <w:tc>
          <w:tcPr>
            <w:tcW w:type="dxa" w:w="141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3"/>
              </w:rPr>
              <w:t>Preuve</w:t>
            </w:r>
          </w:p>
        </w:tc>
        <w:tc>
          <w:tcPr>
            <w:tcW w:type="dxa" w:w="102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3"/>
              </w:rPr>
              <w:t>Revue</w:t>
            </w:r>
          </w:p>
        </w:tc>
      </w:tr>
      <w:tr>
        <w:trPr>
          <w:cantSplit/>
        </w:trPr>
        <w:tc>
          <w:tcPr>
            <w:tcW w:type="dxa" w:w="68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D-001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[Date]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Périmètre du pilote.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[Options]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[Nom / rôle]</w:t>
            </w:r>
          </w:p>
        </w:tc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[PV / lien]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[Date]</w:t>
            </w:r>
          </w:p>
        </w:tc>
      </w:tr>
      <w:tr>
        <w:trPr>
          <w:cantSplit/>
        </w:trPr>
        <w:tc>
          <w:tcPr>
            <w:tcW w:type="dxa" w:w="68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D-002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[Date]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Entité et signataire.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[Options]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[Nom / rôle]</w:t>
            </w:r>
          </w:p>
        </w:tc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[Pièce]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[Date]</w:t>
            </w:r>
          </w:p>
        </w:tc>
      </w:tr>
      <w:tr>
        <w:trPr>
          <w:cantSplit/>
        </w:trPr>
        <w:tc>
          <w:tcPr>
            <w:tcW w:type="dxa" w:w="68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D-003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[Date]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Catalogue de données.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[Options]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[Nom / rôle]</w:t>
            </w:r>
          </w:p>
        </w:tc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[Version]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[Date]</w:t>
            </w:r>
          </w:p>
        </w:tc>
      </w:tr>
      <w:tr>
        <w:trPr>
          <w:cantSplit/>
        </w:trPr>
        <w:tc>
          <w:tcPr>
            <w:tcW w:type="dxa" w:w="68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D-004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[Date]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Zones et dispositif de sécurité.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[Options]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[Nom / rôle]</w:t>
            </w:r>
          </w:p>
        </w:tc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[Fiche]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[Date]</w:t>
            </w:r>
          </w:p>
        </w:tc>
      </w:tr>
      <w:tr>
        <w:trPr>
          <w:cantSplit/>
        </w:trPr>
        <w:tc>
          <w:tcPr>
            <w:tcW w:type="dxa" w:w="68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D-005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[Date]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Budget et réserve.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[Options]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[Nom / rôle]</w:t>
            </w:r>
          </w:p>
        </w:tc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[Décision]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[Date]</w:t>
            </w:r>
          </w:p>
        </w:tc>
      </w:tr>
      <w:tr>
        <w:trPr>
          <w:cantSplit/>
        </w:trPr>
        <w:tc>
          <w:tcPr>
            <w:tcW w:type="dxa" w:w="68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D-006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[Date]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Partenaire pilote.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[Options]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[Nom / rôle]</w:t>
            </w:r>
          </w:p>
        </w:tc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[Contrat]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3"/>
              </w:rPr>
              <w:t>[Date]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9. Contrôle de version de la data room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911"/>
        <w:gridCol w:w="1911"/>
        <w:gridCol w:w="1911"/>
        <w:gridCol w:w="1911"/>
        <w:gridCol w:w="1911"/>
      </w:tblGrid>
      <w:tr>
        <w:trPr>
          <w:tblHeader w:val="true"/>
        </w:trPr>
        <w:tc>
          <w:tcPr>
            <w:tcW w:type="dxa" w:w="226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Document</w:t>
            </w:r>
          </w:p>
        </w:tc>
        <w:tc>
          <w:tcPr>
            <w:tcW w:type="dxa" w:w="181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Propriétaire</w:t>
            </w:r>
          </w:p>
        </w:tc>
        <w:tc>
          <w:tcPr>
            <w:tcW w:type="dxa" w:w="102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Édition</w:t>
            </w:r>
          </w:p>
        </w:tc>
        <w:tc>
          <w:tcPr>
            <w:tcW w:type="dxa" w:w="238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Statut</w:t>
            </w:r>
          </w:p>
        </w:tc>
        <w:tc>
          <w:tcPr>
            <w:tcW w:type="dxa" w:w="187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Prochaine revue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Guide et index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PMO / direction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Consolidée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Contrôlé</w:t>
            </w:r>
          </w:p>
        </w:tc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Après chaque gate.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Résumé exécutif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Direction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Consolidée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Interne</w:t>
            </w:r>
          </w:p>
        </w:tc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Après résultats pilote.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Business plan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Direction + finance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Consolidée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Hypothèses</w:t>
            </w:r>
          </w:p>
        </w:tc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Mensuel.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Étude de marché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Stratégie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Consolidée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Validation terrain requise</w:t>
            </w:r>
          </w:p>
        </w:tc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J30.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Opérations / terrain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Opérations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Consolidée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À tester</w:t>
            </w:r>
          </w:p>
        </w:tc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Hebdomadaire pilote.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Données / juridique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Données + conseil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Consolidée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Non approuvé juridiquement</w:t>
            </w:r>
          </w:p>
        </w:tc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Avant collecte.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Risques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Comité pilote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Consolidée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Propriétaires à nommer</w:t>
            </w:r>
          </w:p>
        </w:tc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Hebdomadaire.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Marketing / partenaires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Commercial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Consolidée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Contacts à vérifier</w:t>
            </w:r>
          </w:p>
        </w:tc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Hebdomadaire.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Finance 36 mois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Finance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Consolidée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Scénario</w:t>
            </w:r>
          </w:p>
        </w:tc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Mensuel.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Classeur opérations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Opérations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Consolidée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Prêt à paramétrer</w:t>
            </w:r>
          </w:p>
        </w:tc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Quotidien pilote.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Dashboard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PMO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Consolidée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Données à alimenter</w:t>
            </w:r>
          </w:p>
        </w:tc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Hebdomadaire.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Investor deck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Direction</w:t>
            </w:r>
          </w:p>
        </w:tc>
        <w:tc>
          <w:tcPr>
            <w:tcW w:type="dxa" w:w="10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Consolidée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Externe après validation</w:t>
            </w:r>
          </w:p>
        </w:tc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Après preuve commerciale.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10. Processus de fermeture d’une lacune</w:t>
      </w:r>
    </w:p>
    <w:p>
      <w:pPr>
        <w:pStyle w:val="ListNumber"/>
      </w:pPr>
      <w:r>
        <w:t>Définir précisément l’information manquante et l’action qu’elle bloque.</w:t>
      </w:r>
    </w:p>
    <w:p>
      <w:pPr>
        <w:pStyle w:val="ListNumber"/>
      </w:pPr>
      <w:r>
        <w:t>Nommer un propriétaire doté de l’autorité nécessaire.</w:t>
      </w:r>
    </w:p>
    <w:p>
      <w:pPr>
        <w:pStyle w:val="ListNumber"/>
      </w:pPr>
      <w:r>
        <w:t>Identifier une preuve acceptable et une date.</w:t>
      </w:r>
    </w:p>
    <w:p>
      <w:pPr>
        <w:pStyle w:val="ListNumber"/>
      </w:pPr>
      <w:r>
        <w:t>Collecter ou produire la preuve sans modifier rétroactivement la question.</w:t>
      </w:r>
    </w:p>
    <w:p>
      <w:pPr>
        <w:pStyle w:val="ListNumber"/>
      </w:pPr>
      <w:r>
        <w:t>Faire revoir la preuve par une seconde personne si le sujet est critique.</w:t>
      </w:r>
    </w:p>
    <w:p>
      <w:pPr>
        <w:pStyle w:val="ListNumber"/>
      </w:pPr>
      <w:r>
        <w:t>Mettre à jour tous les documents dépendants et archiver l’ancienne version.</w:t>
      </w:r>
    </w:p>
    <w:p>
      <w:pPr>
        <w:pStyle w:val="ListNumber"/>
      </w:pPr>
      <w:r>
        <w:t>Enregistrer la décision, la date, l’auteur et la prochaine revue.</w:t>
      </w:r>
    </w:p>
    <w:p>
      <w:pPr>
        <w:pStyle w:val="Heading1"/>
        <w:keepNext/>
        <w:pageBreakBefore w:val="0"/>
      </w:pPr>
      <w:r>
        <w:t>11. Sources et limites</w:t>
      </w:r>
    </w:p>
    <w:p>
      <w:pPr>
        <w:pStyle w:val="Sourcenote"/>
      </w:pPr>
      <w:r>
        <w:t>Pack Dëggal reconstruit, version du 12 juillet 2026 - source interne. Sénégal - loi n° 2008-12 du 25 janvier 2008 sur la protection des données à caractère personnel - texte à vérifier dans sa version en vigueur. Commission de protection des données personnelles du Sénégal: https://www.cdp.sn/ OHADA - actes uniformes applicables aux sociétés et aux contrats commerciaux: https://www.ohada.org/</w:t>
      </w:r>
    </w:p>
    <w:p>
      <w:r>
        <w:t>Le registre reflète l’état documentaire disponible au 12 juillet 2026. Il ne confirme pas qu’une lacune a été fermée en dehors des pièces présentes dans la data room.</w:t>
      </w:r>
    </w:p>
    <w:sectPr w:rsidR="00FC693F" w:rsidRPr="0006063C" w:rsidSect="00034616">
      <w:headerReference w:type="default" r:id="rId10"/>
      <w:footerReference w:type="default" r:id="rId11"/>
      <w:pgSz w:w="11906" w:h="16838"/>
      <w:pgMar w:top="1134" w:right="1134" w:bottom="1020" w:left="1219" w:header="397" w:footer="369" w:gutter="0"/>
      <w:cols w:space="720"/>
      <w:titlePg/>
      <w:docGrid w:linePitch="360"/>
      <w:pgNumType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3184"/>
      <w:gridCol w:w="3184"/>
      <w:gridCol w:w="3184"/>
    </w:tblGrid>
    <w:tr>
      <w:tc>
        <w:tcPr>
          <w:tcW w:type="dxa" w:w="2551"/>
          <w:tcBorders>
            <w:top w:val="single" w:sz="4" w:color="D6DEDA"/>
          </w:tcBorders>
        </w:tcPr>
        <w:p>
          <w:pPr>
            <w:spacing w:before="40" w:after="0"/>
            <w:jc w:val="left"/>
          </w:pPr>
          <w:r>
            <w:rPr>
              <w:color w:val="6D7471"/>
              <w:sz w:val="14"/>
            </w:rPr>
            <w:t>Confidentiel - diffusion contrôlée</w:t>
          </w:r>
        </w:p>
      </w:tc>
      <w:tc>
        <w:tcPr>
          <w:tcW w:type="dxa" w:w="4450"/>
          <w:tcBorders>
            <w:top w:val="single" w:sz="4" w:color="D6DEDA"/>
          </w:tcBorders>
        </w:tcPr>
        <w:p>
          <w:pPr>
            <w:spacing w:before="40" w:after="0"/>
            <w:jc w:val="center"/>
          </w:pPr>
          <w:r>
            <w:rPr>
              <w:color w:val="6D7471"/>
              <w:sz w:val="14"/>
            </w:rPr>
            <w:t>12 juillet 2026</w:t>
          </w:r>
        </w:p>
      </w:tc>
      <w:tc>
        <w:tcPr>
          <w:tcW w:type="dxa" w:w="2551"/>
          <w:tcBorders>
            <w:top w:val="single" w:sz="4" w:color="D6DEDA"/>
          </w:tcBorders>
        </w:tcPr>
        <w:p>
          <w:pPr>
            <w:spacing w:before="40" w:after="0"/>
            <w:jc w:val="center"/>
          </w:pPr>
          <w:r>
            <w:rPr>
              <w:color w:val="6D7471"/>
              <w:sz w:val="14"/>
            </w:rPr>
            <w:t xml:space="preserve">Page </w:t>
          </w:r>
        </w:p>
      </w:tc>
    </w:tr>
  </w:tbl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3184"/>
      <w:gridCol w:w="3184"/>
      <w:gridCol w:w="3184"/>
    </w:tblGrid>
    <w:tr>
      <w:tc>
        <w:tcPr>
          <w:tcW w:type="dxa" w:w="2551"/>
          <w:tcBorders>
            <w:bottom w:val="single" w:sz="8" w:color="D4A936"/>
          </w:tcBorders>
        </w:tcPr>
        <w:p>
          <w:pPr>
            <w:spacing w:after="40"/>
            <w:jc w:val="left"/>
          </w:pPr>
          <w:r>
            <w:rPr>
              <w:rFonts w:ascii="Carlito" w:hAnsi="Carlito"/>
              <w:b/>
              <w:color w:val="0B5947"/>
              <w:sz w:val="15"/>
            </w:rPr>
            <w:t>DËGGAL</w:t>
          </w:r>
        </w:p>
      </w:tc>
      <w:tc>
        <w:tcPr>
          <w:tcW w:type="dxa" w:w="4450"/>
          <w:tcBorders>
            <w:bottom w:val="single" w:sz="8" w:color="D4A936"/>
          </w:tcBorders>
        </w:tcPr>
        <w:p>
          <w:pPr>
            <w:spacing w:after="40"/>
            <w:jc w:val="center"/>
          </w:pPr>
          <w:r>
            <w:rPr>
              <w:rFonts w:ascii="Carlito" w:hAnsi="Carlito"/>
              <w:b w:val="0"/>
              <w:color w:val="6D7471"/>
              <w:sz w:val="15"/>
            </w:rPr>
            <w:t>Registre des hypothèses, lacunes et décisions</w:t>
          </w:r>
        </w:p>
      </w:tc>
      <w:tc>
        <w:tcPr>
          <w:tcW w:type="dxa" w:w="2551"/>
          <w:tcBorders>
            <w:bottom w:val="single" w:sz="8" w:color="D4A936"/>
          </w:tcBorders>
        </w:tcPr>
        <w:p>
          <w:pPr>
            <w:spacing w:after="40"/>
            <w:jc w:val="right"/>
          </w:pPr>
          <w:r>
            <w:rPr>
              <w:rFonts w:ascii="Carlito" w:hAnsi="Carlito"/>
              <w:b w:val="0"/>
              <w:color w:val="6D7471"/>
              <w:sz w:val="15"/>
            </w:rPr>
            <w:t>Édition consolidée</w:t>
          </w:r>
        </w:p>
      </w:tc>
    </w:tr>
  </w:tbl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10" w:line="271" w:lineRule="auto"/>
    </w:pPr>
    <w:rPr>
      <w:rFonts w:ascii="Carlito" w:hAnsi="Carlito"/>
      <w:color w:val="1F2A26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40"/>
      <w:outlineLvl w:val="0"/>
    </w:pPr>
    <w:rPr>
      <w:rFonts w:asciiTheme="majorHAnsi" w:eastAsiaTheme="majorEastAsia" w:hAnsiTheme="majorHAnsi" w:cstheme="majorBidi" w:ascii="Cabin" w:hAnsi="Cabin"/>
      <w:b/>
      <w:bCs/>
      <w:color w:val="0B5947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00"/>
      <w:outlineLvl w:val="1"/>
    </w:pPr>
    <w:rPr>
      <w:rFonts w:asciiTheme="majorHAnsi" w:eastAsiaTheme="majorEastAsia" w:hAnsiTheme="majorHAnsi" w:cstheme="majorBidi" w:ascii="Cabin" w:hAnsi="Cabin"/>
      <w:b/>
      <w:bCs/>
      <w:color w:val="C97B42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 w:after="60"/>
      <w:outlineLvl w:val="2"/>
    </w:pPr>
    <w:rPr>
      <w:rFonts w:asciiTheme="majorHAnsi" w:eastAsiaTheme="majorEastAsia" w:hAnsiTheme="majorHAnsi" w:cstheme="majorBidi" w:ascii="Cabin" w:hAnsi="Cabin"/>
      <w:b/>
      <w:bCs/>
      <w:color w:val="443A78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200" w:line="240" w:lineRule="auto" w:before="0"/>
      <w:contextualSpacing/>
    </w:pPr>
    <w:rPr>
      <w:rFonts w:asciiTheme="majorHAnsi" w:eastAsiaTheme="majorEastAsia" w:hAnsiTheme="majorHAnsi" w:cstheme="majorBidi" w:ascii="Cabin" w:hAnsi="Cabin"/>
      <w:b/>
      <w:color w:val="0B5947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160"/>
    </w:pPr>
    <w:rPr>
      <w:rFonts w:asciiTheme="majorHAnsi" w:eastAsiaTheme="majorEastAsia" w:hAnsiTheme="majorHAnsi" w:cstheme="majorBidi" w:ascii="Cabin" w:hAnsi="Cabin"/>
      <w:b w:val="0"/>
      <w:i/>
      <w:iCs/>
      <w:color w:val="6D7471"/>
      <w:spacing w:val="15"/>
      <w:sz w:val="2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Carlito" w:hAnsi="Carlito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Carlito" w:hAnsi="Carlito"/>
      <w:sz w:val="20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pPr>
      <w:spacing w:after="40"/>
    </w:pPr>
    <w:rPr>
      <w:rFonts w:ascii="Carlito" w:hAnsi="Carlito"/>
      <w:color w:val="6D7471"/>
      <w:sz w:val="16"/>
    </w:rPr>
  </w:style>
  <w:style w:type="paragraph" w:customStyle="1" w:styleId="Sourcenote">
    <w:name w:val="Source note"/>
    <w:pPr>
      <w:spacing w:before="40" w:after="80"/>
    </w:pPr>
    <w:rPr>
      <w:rFonts w:ascii="Carlito" w:hAnsi="Carlito"/>
      <w:i/>
      <w:color w:val="6D7471"/>
      <w:sz w:val="15"/>
    </w:rPr>
  </w:style>
  <w:style w:type="paragraph" w:customStyle="1" w:styleId="Tabletext">
    <w:name w:val="Table text"/>
    <w:pPr>
      <w:spacing w:after="0" w:line="240" w:lineRule="auto"/>
    </w:pPr>
    <w:rPr>
      <w:rFonts w:ascii="Carlito" w:hAnsi="Carlito"/>
      <w:color w:val="1F2A26"/>
      <w:sz w:val="17"/>
    </w:rPr>
  </w:style>
  <w:style w:type="paragraph" w:customStyle="1" w:styleId="KPIlabel">
    <w:name w:val="KPI label"/>
    <w:pPr>
      <w:spacing w:after="0"/>
    </w:pPr>
    <w:rPr>
      <w:rFonts w:ascii="Carlito" w:hAnsi="Carlito"/>
      <w:b/>
      <w:color w:val="6D7471"/>
      <w:sz w:val="15"/>
    </w:rPr>
  </w:style>
  <w:style w:type="paragraph" w:customStyle="1" w:styleId="KPIvalue">
    <w:name w:val="KPI value"/>
    <w:pPr>
      <w:spacing w:after="20"/>
    </w:pPr>
    <w:rPr>
      <w:rFonts w:ascii="Cabin" w:hAnsi="Cabin"/>
      <w:b/>
      <w:color w:val="0B5947"/>
      <w:sz w:val="32"/>
    </w:rPr>
  </w:style>
  <w:style w:type="paragraph" w:customStyle="1" w:styleId="Callouttitle">
    <w:name w:val="Callout title"/>
    <w:pPr>
      <w:spacing w:after="40"/>
    </w:pPr>
    <w:rPr>
      <w:rFonts w:ascii="Cabin" w:hAnsi="Cabin"/>
      <w:b/>
      <w:color w:val="143B31"/>
      <w:sz w:val="20"/>
    </w:rPr>
  </w:style>
  <w:style w:type="paragraph" w:customStyle="1" w:styleId="Callouttext">
    <w:name w:val="Callout text"/>
    <w:pPr>
      <w:spacing w:after="20"/>
    </w:pPr>
    <w:rPr>
      <w:rFonts w:ascii="Carlito" w:hAnsi="Carlito"/>
      <w:color w:val="1F2A26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eader" Target="header1.xml"/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