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300"/>
        <w:jc w:val="center"/>
      </w:pPr>
      <w:r>
        <w:rPr>
          <w:rFonts w:ascii="Cabin" w:hAnsi="Cabin"/>
          <w:b/>
          <w:color w:val="0B5947"/>
          <w:sz w:val="24"/>
        </w:rPr>
        <w:t>DËGGAL</w:t>
      </w:r>
    </w:p>
    <w:p>
      <w:pPr>
        <w:spacing w:after="240"/>
        <w:jc w:val="center"/>
      </w:pPr>
      <w:r>
        <w:rPr>
          <w:sz w:val="15"/>
        </w:rPr>
        <w:t>INFRASTRUCTURE DE PREUVE POUR LES ACTIVITÉS ÉCONOMIQUES INFORMELLES</w:t>
      </w:r>
    </w:p>
    <w:p>
      <w:pPr>
        <w:jc w:val="center"/>
      </w:pPr>
      <w:r/>
    </w:p>
    <w:p>
      <w:pPr>
        <w:spacing w:before="160" w:after="60"/>
        <w:jc w:val="center"/>
      </w:pPr>
      <w:r>
        <w:rPr>
          <w:rFonts w:ascii="Cabin" w:hAnsi="Cabin"/>
          <w:b/>
          <w:color w:val="D4A936"/>
          <w:sz w:val="18"/>
        </w:rPr>
        <w:t>PACKET COMMERCIAL</w:t>
      </w:r>
    </w:p>
    <w:p>
      <w:pPr>
        <w:pStyle w:val="Title"/>
        <w:jc w:val="center"/>
      </w:pPr>
      <w:r>
        <w:t>Dossier partenaires</w:t>
      </w:r>
    </w:p>
    <w:p>
      <w:pPr>
        <w:pStyle w:val="Subtitle"/>
        <w:jc w:val="center"/>
      </w:pPr>
      <w:r>
        <w:t>Proposition de pilote, offre, méthode, sécurité, critères de succès et modèles de prise de contact</w:t>
      </w:r>
    </w:p>
    <w:p/>
    <w:tbl>
      <w:tblPr>
        <w:tblW w:type="auto" w:w="0"/>
        <w:jc w:val="center"/>
        <w:tblLayout w:type="fixed"/>
        <w:tblLook w:firstColumn="1" w:firstRow="1" w:lastColumn="0" w:lastRow="0" w:noHBand="0" w:noVBand="1" w:val="04A0"/>
      </w:tblPr>
      <w:tblGrid>
        <w:gridCol w:w="4819"/>
        <w:gridCol w:w="4819"/>
      </w:tblGrid>
      <w:tr>
        <w:tc>
          <w:tcPr>
            <w:tcW w:type="dxa" w:w="2041"/>
            <w:shd w:fill="0B5947"/>
            <w:tcMar>
              <w:top w:w="110" w:type="dxa"/>
              <w:start w:w="120" w:type="dxa"/>
              <w:bottom w:w="110" w:type="dxa"/>
              <w:end w:w="120" w:type="dxa"/>
            </w:tcMar>
            <w:tcBorders>
              <w:bottom w:val="single" w:sz="4" w:color="D6DEDA"/>
            </w:tcBorders>
          </w:tcPr>
          <w:p>
            <w:pPr>
              <w:pStyle w:val="Tabletext"/>
            </w:pPr>
            <w:r>
              <w:rPr>
                <w:b/>
                <w:color w:val="FFFFFF"/>
              </w:rPr>
              <w:t>Statut</w:t>
            </w:r>
          </w:p>
        </w:tc>
        <w:tc>
          <w:tcPr>
            <w:tcW w:type="dxa" w:w="6237"/>
            <w:shd w:fill="F2F4F3"/>
            <w:tcMar>
              <w:top w:w="110" w:type="dxa"/>
              <w:start w:w="120" w:type="dxa"/>
              <w:bottom w:w="110" w:type="dxa"/>
              <w:end w:w="120" w:type="dxa"/>
            </w:tcMar>
            <w:tcBorders>
              <w:bottom w:val="single" w:sz="4" w:color="D6DEDA"/>
            </w:tcBorders>
          </w:tcPr>
          <w:p>
            <w:pPr>
              <w:pStyle w:val="Tabletext"/>
            </w:pPr>
            <w:r>
              <w:t>Édition consolidée - document externe après validation juridique et identité</w:t>
            </w:r>
          </w:p>
        </w:tc>
      </w:tr>
      <w:tr>
        <w:tc>
          <w:tcPr>
            <w:tcW w:type="dxa" w:w="2041"/>
            <w:shd w:fill="EAF3EF"/>
            <w:tcMar>
              <w:top w:w="110" w:type="dxa"/>
              <w:start w:w="120" w:type="dxa"/>
              <w:bottom w:w="110" w:type="dxa"/>
              <w:end w:w="120" w:type="dxa"/>
            </w:tcMar>
            <w:tcBorders>
              <w:bottom w:val="single" w:sz="4" w:color="D6DEDA"/>
            </w:tcBorders>
          </w:tcPr>
          <w:p>
            <w:pPr>
              <w:pStyle w:val="Tabletext"/>
            </w:pPr>
            <w:r>
              <w:rPr>
                <w:b/>
              </w:rPr>
              <w:t>Édition</w:t>
            </w:r>
          </w:p>
        </w:tc>
        <w:tc>
          <w:tcPr>
            <w:tcW w:type="dxa" w:w="6237"/>
            <w:shd w:fill="FFFFFF"/>
            <w:tcMar>
              <w:top w:w="110" w:type="dxa"/>
              <w:start w:w="120" w:type="dxa"/>
              <w:bottom w:w="110" w:type="dxa"/>
              <w:end w:w="120" w:type="dxa"/>
            </w:tcMar>
            <w:tcBorders>
              <w:bottom w:val="single" w:sz="4" w:color="D6DEDA"/>
            </w:tcBorders>
          </w:tcPr>
          <w:p>
            <w:pPr>
              <w:pStyle w:val="Tabletext"/>
            </w:pPr>
            <w:r>
              <w:t>Consolidée</w:t>
            </w:r>
          </w:p>
        </w:tc>
      </w:tr>
      <w:tr>
        <w:tc>
          <w:tcPr>
            <w:tcW w:type="dxa" w:w="2041"/>
            <w:shd w:fill="EAF3EF"/>
            <w:tcMar>
              <w:top w:w="110" w:type="dxa"/>
              <w:start w:w="120" w:type="dxa"/>
              <w:bottom w:w="110" w:type="dxa"/>
              <w:end w:w="120" w:type="dxa"/>
            </w:tcMar>
            <w:tcBorders>
              <w:bottom w:val="single" w:sz="4" w:color="D6DEDA"/>
            </w:tcBorders>
          </w:tcPr>
          <w:p>
            <w:pPr>
              <w:pStyle w:val="Tabletext"/>
            </w:pPr>
            <w:r>
              <w:rPr>
                <w:b/>
              </w:rPr>
              <w:t>Audience</w:t>
            </w:r>
          </w:p>
        </w:tc>
        <w:tc>
          <w:tcPr>
            <w:tcW w:type="dxa" w:w="6237"/>
            <w:shd w:fill="F2F4F3"/>
            <w:tcMar>
              <w:top w:w="110" w:type="dxa"/>
              <w:start w:w="120" w:type="dxa"/>
              <w:bottom w:w="110" w:type="dxa"/>
              <w:end w:w="120" w:type="dxa"/>
            </w:tcMar>
            <w:tcBorders>
              <w:bottom w:val="single" w:sz="4" w:color="D6DEDA"/>
            </w:tcBorders>
          </w:tcPr>
          <w:p>
            <w:pPr>
              <w:pStyle w:val="Tabletext"/>
            </w:pPr>
            <w:r>
              <w:t>Programmes d’appui, institutions financières, ONG, acheteurs, plateformes et partenaires pilotes</w:t>
            </w:r>
          </w:p>
        </w:tc>
      </w:tr>
      <w:tr>
        <w:tc>
          <w:tcPr>
            <w:tcW w:type="dxa" w:w="2041"/>
            <w:shd w:fill="EAF3EF"/>
            <w:tcMar>
              <w:top w:w="110" w:type="dxa"/>
              <w:start w:w="120" w:type="dxa"/>
              <w:bottom w:w="110" w:type="dxa"/>
              <w:end w:w="120" w:type="dxa"/>
            </w:tcMar>
            <w:tcBorders>
              <w:bottom w:val="single" w:sz="4" w:color="D6DEDA"/>
            </w:tcBorders>
          </w:tcPr>
          <w:p>
            <w:pPr>
              <w:pStyle w:val="Tabletext"/>
            </w:pPr>
            <w:r>
              <w:rPr>
                <w:b/>
              </w:rPr>
              <w:t>Édition</w:t>
            </w:r>
          </w:p>
        </w:tc>
        <w:tc>
          <w:tcPr>
            <w:tcW w:type="dxa" w:w="6237"/>
            <w:shd w:fill="FFFFFF"/>
            <w:tcMar>
              <w:top w:w="110" w:type="dxa"/>
              <w:start w:w="120" w:type="dxa"/>
              <w:bottom w:w="110" w:type="dxa"/>
              <w:end w:w="120" w:type="dxa"/>
            </w:tcMar>
            <w:tcBorders>
              <w:bottom w:val="single" w:sz="4" w:color="D6DEDA"/>
            </w:tcBorders>
          </w:tcPr>
          <w:p>
            <w:pPr>
              <w:pStyle w:val="Tabletext"/>
            </w:pPr>
            <w:r>
              <w:t>12 juillet 2026</w:t>
            </w:r>
          </w:p>
        </w:tc>
      </w:tr>
    </w:tbl>
    <w:p/>
    <w:p>
      <w:pPr>
        <w:jc w:val="center"/>
      </w:pPr>
      <w:r>
        <w:rPr>
          <w:b/>
          <w:color w:val="443A78"/>
          <w:sz w:val="16"/>
        </w:rPr>
        <w:t>Confidentiel - diffusion contrôlée</w:t>
      </w:r>
    </w:p>
    <w:p>
      <w:pPr>
        <w:jc w:val="center"/>
      </w:pPr>
      <w:r>
        <w:rPr>
          <w:i/>
          <w:color w:val="6D7471"/>
          <w:sz w:val="15"/>
        </w:rPr>
        <w:t>Les objectifs et hypothèses ne doivent pas être présentés comme des résultats obtenus.</w:t>
      </w:r>
    </w:p>
    <w:p>
      <w:pPr>
        <w:sectPr>
          <w:headerReference w:type="default" r:id="rId12"/>
          <w:footerReference w:type="default" r:id="rId13"/>
          <w:pgSz w:w="11906" w:h="16838"/>
          <w:pgMar w:top="1134" w:right="1134" w:bottom="1134" w:left="1134" w:header="720" w:footer="720" w:gutter="0"/>
          <w:cols w:space="720"/>
          <w:titlePg/>
          <w:docGrid w:linePitch="360"/>
        </w:sectPr>
      </w:pPr>
    </w:p>
    <w:p>
      <w:pPr>
        <w:spacing w:before="60" w:after="40"/>
      </w:pPr>
      <w:r>
        <w:rPr>
          <w:rFonts w:ascii="Cabin" w:hAnsi="Cabin"/>
          <w:b/>
          <w:color w:val="D4A936"/>
          <w:sz w:val="16"/>
        </w:rPr>
        <w:t>UN TEST LIMITÉ ET MESURABLE</w:t>
      </w:r>
    </w:p>
    <w:p>
      <w:pPr>
        <w:pStyle w:val="Title"/>
        <w:jc w:val="left"/>
      </w:pPr>
      <w:r>
        <w:t>Dossier partenaires</w:t>
      </w:r>
    </w:p>
    <w:p>
      <w:pPr>
        <w:pStyle w:val="Subtitle"/>
        <w:jc w:val="left"/>
      </w:pPr>
      <w:r>
        <w:t>Dëggal propose de valider un cas d’usage précis avant toute intégration ou déploiement large.</w:t>
      </w:r>
    </w:p>
    <w:p>
      <w:pPr>
        <w:spacing w:after="120"/>
        <w:pBdr>
          <w:bottom w:val="single" w:sz="12" w:space="1" w:color="D4A936"/>
        </w:pBdr>
      </w:pPr>
    </w:p>
    <w:tbl>
      <w:tblPr>
        <w:tblW w:type="auto" w:w="0"/>
        <w:jc w:val="center"/>
        <w:tblLayout w:type="fixed"/>
        <w:tblLook w:firstColumn="1" w:firstRow="1" w:lastColumn="0" w:lastRow="0" w:noHBand="0" w:noVBand="1" w:val="04A0"/>
      </w:tblPr>
      <w:tblGrid>
        <w:gridCol w:w="3184"/>
        <w:gridCol w:w="3184"/>
        <w:gridCol w:w="3184"/>
      </w:tblGrid>
      <w:tr>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2F4F3"/>
          </w:tcPr>
          <w:p>
            <w:pPr>
              <w:pStyle w:val="KPIvalue"/>
              <w:jc w:val="center"/>
            </w:pPr>
            <w:r/>
            <w:r>
              <w:t>4 semaines</w:t>
            </w:r>
          </w:p>
          <w:p>
            <w:pPr>
              <w:pStyle w:val="KPIlabel"/>
              <w:jc w:val="center"/>
            </w:pPr>
            <w:r>
              <w:t>pilote type</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FFFFF"/>
          </w:tcPr>
          <w:p>
            <w:pPr>
              <w:pStyle w:val="KPIvalue"/>
              <w:jc w:val="center"/>
            </w:pPr>
            <w:r/>
            <w:r>
              <w:t>20-100</w:t>
            </w:r>
          </w:p>
          <w:p>
            <w:pPr>
              <w:pStyle w:val="KPIlabel"/>
              <w:jc w:val="center"/>
            </w:pPr>
            <w:r>
              <w:t>dossiers par test</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2F4F3"/>
          </w:tcPr>
          <w:p>
            <w:pPr>
              <w:pStyle w:val="KPIvalue"/>
              <w:jc w:val="center"/>
            </w:pPr>
            <w:r/>
            <w:r>
              <w:t>Filtrée</w:t>
            </w:r>
          </w:p>
          <w:p>
            <w:pPr>
              <w:pStyle w:val="KPIlabel"/>
              <w:jc w:val="center"/>
            </w:pPr>
            <w:r>
              <w:t>vue partenaire</w:t>
            </w:r>
          </w:p>
        </w:tc>
      </w:tr>
      <w:tr>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FFFFF"/>
          </w:tcPr>
          <w:p>
            <w:pPr>
              <w:pStyle w:val="KPIvalue"/>
              <w:jc w:val="center"/>
            </w:pPr>
            <w:r/>
            <w:r>
              <w:t>Journalisé</w:t>
            </w:r>
          </w:p>
          <w:p>
            <w:pPr>
              <w:pStyle w:val="KPIlabel"/>
              <w:jc w:val="center"/>
            </w:pPr>
            <w:r>
              <w:t>chaque accès</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2F4F3"/>
          </w:tcPr>
          <w:p>
            <w:pPr>
              <w:pStyle w:val="KPIvalue"/>
              <w:jc w:val="center"/>
            </w:pPr>
            <w:r/>
            <w:r>
              <w:t>Révocable</w:t>
            </w:r>
          </w:p>
          <w:p>
            <w:pPr>
              <w:pStyle w:val="KPIlabel"/>
              <w:jc w:val="center"/>
            </w:pPr>
            <w:r>
              <w:t>chaque autorisation</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FFFFF"/>
          </w:tcPr>
          <w:p>
            <w:pPr>
              <w:pStyle w:val="KPIvalue"/>
              <w:jc w:val="center"/>
            </w:pPr>
            <w:r/>
            <w:r>
              <w:t>Aucun</w:t>
            </w:r>
          </w:p>
          <w:p>
            <w:pPr>
              <w:pStyle w:val="KPIlabel"/>
              <w:jc w:val="center"/>
            </w:pPr>
            <w:r>
              <w:t>score de crédit</w:t>
            </w:r>
          </w:p>
        </w:tc>
      </w:tr>
    </w:tbl>
    <w:p>
      <w:pPr>
        <w:spacing w:after="20"/>
      </w:pP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D4A936"/>
            <w:tcMar>
              <w:top w:w="110" w:type="dxa"/>
              <w:start w:w="130" w:type="dxa"/>
              <w:bottom w:w="110" w:type="dxa"/>
              <w:end w:w="130" w:type="dxa"/>
            </w:tcMar>
            <w:tcBorders>
              <w:top w:val="nil"/>
              <w:left w:val="nil"/>
              <w:bottom w:val="nil"/>
              <w:right w:val="nil"/>
            </w:tcBorders>
          </w:tcPr>
          <w:p/>
        </w:tc>
        <w:tc>
          <w:tcPr>
            <w:tcW w:type="dxa" w:w="9072"/>
            <w:shd w:fill="FBF4DA"/>
            <w:tcMar>
              <w:top w:w="110" w:type="dxa"/>
              <w:start w:w="130" w:type="dxa"/>
              <w:bottom w:w="110" w:type="dxa"/>
              <w:end w:w="130" w:type="dxa"/>
            </w:tcMar>
            <w:tcBorders>
              <w:top w:val="nil"/>
              <w:left w:val="nil"/>
              <w:bottom w:val="nil"/>
              <w:right w:val="nil"/>
            </w:tcBorders>
          </w:tcPr>
          <w:p>
            <w:pPr>
              <w:pStyle w:val="Callouttitle"/>
            </w:pPr>
            <w:r>
              <w:t>À compléter avant envoi</w:t>
            </w:r>
          </w:p>
          <w:p>
            <w:pPr>
              <w:pStyle w:val="Callouttext"/>
            </w:pPr>
            <w:r>
              <w:t>Porteur légal, RCCM/NINEA ou équivalent, adresse, signataire, contact, hébergeur, formalités applicables, conditions générales et coordonnées de retrait.</w:t>
            </w:r>
          </w:p>
        </w:tc>
      </w:tr>
    </w:tbl>
    <w:p>
      <w:pPr>
        <w:spacing w:after="20" w:before="0"/>
      </w:pPr>
    </w:p>
    <w:p>
      <w:pPr>
        <w:pStyle w:val="Heading1"/>
        <w:keepNext/>
        <w:pageBreakBefore w:val="0"/>
      </w:pPr>
      <w:r>
        <w:t>Table des matières</w:t>
      </w:r>
    </w:p>
    <w:tbl>
      <w:tblPr>
        <w:tblW w:type="auto" w:w="0"/>
        <w:jc w:val="center"/>
        <w:tblLayout w:type="fixed"/>
        <w:tblLook w:firstColumn="1" w:firstRow="1" w:lastColumn="0" w:lastRow="0" w:noHBand="0" w:noVBand="1" w:val="04A0"/>
      </w:tblPr>
      <w:tblGrid>
        <w:gridCol w:w="4776"/>
        <w:gridCol w:w="4776"/>
      </w:tblGrid>
      <w:tr>
        <w:trPr>
          <w:tblHeader w:val="true"/>
        </w:trPr>
        <w:tc>
          <w:tcPr>
            <w:tcW w:type="dxa" w:w="8334"/>
            <w:shd w:fill="143B31"/>
            <w:tcMar>
              <w:top w:w="80" w:type="dxa"/>
              <w:start w:w="100" w:type="dxa"/>
              <w:bottom w:w="80" w:type="dxa"/>
              <w:end w:w="100" w:type="dxa"/>
            </w:tcMar>
          </w:tcPr>
          <w:p>
            <w:pPr>
              <w:pStyle w:val="Tabletext"/>
            </w:pPr>
            <w:r>
              <w:rPr>
                <w:b/>
                <w:color w:val="FFFFFF"/>
              </w:rPr>
              <w:t>Section</w:t>
            </w:r>
          </w:p>
        </w:tc>
        <w:tc>
          <w:tcPr>
            <w:tcW w:type="dxa" w:w="1020"/>
            <w:shd w:fill="143B31"/>
            <w:tcMar>
              <w:top w:w="80" w:type="dxa"/>
              <w:start w:w="100" w:type="dxa"/>
              <w:bottom w:w="80" w:type="dxa"/>
              <w:end w:w="100" w:type="dxa"/>
            </w:tcMar>
          </w:tcPr>
          <w:p>
            <w:pPr>
              <w:pStyle w:val="Tabletext"/>
            </w:pPr>
            <w:r>
              <w:rPr>
                <w:b/>
                <w:color w:val="FFFFFF"/>
              </w:rPr>
              <w:t>Page</w:t>
            </w:r>
          </w:p>
        </w:tc>
      </w:tr>
      <w:tr>
        <w:tc>
          <w:tcPr>
            <w:tcW w:type="dxa" w:w="4776"/>
            <w:shd w:fill="FFFFFF"/>
            <w:tcMar>
              <w:top w:w="70" w:type="dxa"/>
              <w:start w:w="90" w:type="dxa"/>
              <w:bottom w:w="70" w:type="dxa"/>
              <w:end w:w="90" w:type="dxa"/>
            </w:tcMar>
            <w:tcBorders>
              <w:bottom w:val="single" w:sz="2" w:color="E5E9E7"/>
            </w:tcBorders>
          </w:tcPr>
          <w:p>
            <w:pPr>
              <w:pStyle w:val="Tabletext"/>
            </w:pPr>
            <w:r>
              <w:t>1. Dëggal en une page</w:t>
            </w:r>
          </w:p>
        </w:tc>
        <w:tc>
          <w:tcPr>
            <w:tcW w:type="dxa" w:w="4776"/>
            <w:shd w:fill="FFFFFF"/>
            <w:tcMar>
              <w:top w:w="70" w:type="dxa"/>
              <w:start w:w="90" w:type="dxa"/>
              <w:bottom w:w="70" w:type="dxa"/>
              <w:end w:w="90" w:type="dxa"/>
            </w:tcMar>
            <w:tcBorders>
              <w:bottom w:val="single" w:sz="2" w:color="E5E9E7"/>
            </w:tcBorders>
          </w:tcPr>
          <w:p>
            <w:pPr>
              <w:pStyle w:val="Tabletext"/>
              <w:jc w:val="right"/>
            </w:pPr>
            <w:r>
              <w:t>1</w:t>
            </w:r>
          </w:p>
        </w:tc>
      </w:tr>
      <w:tr>
        <w:tc>
          <w:tcPr>
            <w:tcW w:type="dxa" w:w="4776"/>
            <w:shd w:fill="F2F4F3"/>
            <w:tcMar>
              <w:top w:w="70" w:type="dxa"/>
              <w:start w:w="90" w:type="dxa"/>
              <w:bottom w:w="70" w:type="dxa"/>
              <w:end w:w="90" w:type="dxa"/>
            </w:tcMar>
            <w:tcBorders>
              <w:bottom w:val="single" w:sz="2" w:color="E5E9E7"/>
            </w:tcBorders>
          </w:tcPr>
          <w:p>
            <w:pPr>
              <w:pStyle w:val="Tabletext"/>
            </w:pPr>
            <w:r>
              <w:t>2. Parcours d’un dossier</w:t>
            </w:r>
          </w:p>
        </w:tc>
        <w:tc>
          <w:tcPr>
            <w:tcW w:type="dxa" w:w="4776"/>
            <w:shd w:fill="F2F4F3"/>
            <w:tcMar>
              <w:top w:w="70" w:type="dxa"/>
              <w:start w:w="90" w:type="dxa"/>
              <w:bottom w:w="70" w:type="dxa"/>
              <w:end w:w="90" w:type="dxa"/>
            </w:tcMar>
            <w:tcBorders>
              <w:bottom w:val="single" w:sz="2" w:color="E5E9E7"/>
            </w:tcBorders>
          </w:tcPr>
          <w:p>
            <w:pPr>
              <w:pStyle w:val="Tabletext"/>
              <w:jc w:val="right"/>
            </w:pPr>
            <w:r>
              <w:t>2</w:t>
            </w:r>
          </w:p>
        </w:tc>
      </w:tr>
      <w:tr>
        <w:tc>
          <w:tcPr>
            <w:tcW w:type="dxa" w:w="4776"/>
            <w:shd w:fill="FFFFFF"/>
            <w:tcMar>
              <w:top w:w="70" w:type="dxa"/>
              <w:start w:w="90" w:type="dxa"/>
              <w:bottom w:w="70" w:type="dxa"/>
              <w:end w:w="90" w:type="dxa"/>
            </w:tcMar>
            <w:tcBorders>
              <w:bottom w:val="single" w:sz="2" w:color="E5E9E7"/>
            </w:tcBorders>
          </w:tcPr>
          <w:p>
            <w:pPr>
              <w:pStyle w:val="Tabletext"/>
            </w:pPr>
            <w:r>
              <w:t>3. Contenu d’une vue partenaire</w:t>
            </w:r>
          </w:p>
        </w:tc>
        <w:tc>
          <w:tcPr>
            <w:tcW w:type="dxa" w:w="4776"/>
            <w:shd w:fill="FFFFFF"/>
            <w:tcMar>
              <w:top w:w="70" w:type="dxa"/>
              <w:start w:w="90" w:type="dxa"/>
              <w:bottom w:w="70" w:type="dxa"/>
              <w:end w:w="90" w:type="dxa"/>
            </w:tcMar>
            <w:tcBorders>
              <w:bottom w:val="single" w:sz="2" w:color="E5E9E7"/>
            </w:tcBorders>
          </w:tcPr>
          <w:p>
            <w:pPr>
              <w:pStyle w:val="Tabletext"/>
              <w:jc w:val="right"/>
            </w:pPr>
            <w:r>
              <w:t>2</w:t>
            </w:r>
          </w:p>
        </w:tc>
      </w:tr>
      <w:tr>
        <w:tc>
          <w:tcPr>
            <w:tcW w:type="dxa" w:w="4776"/>
            <w:shd w:fill="F2F4F3"/>
            <w:tcMar>
              <w:top w:w="70" w:type="dxa"/>
              <w:start w:w="90" w:type="dxa"/>
              <w:bottom w:w="70" w:type="dxa"/>
              <w:end w:w="90" w:type="dxa"/>
            </w:tcMar>
            <w:tcBorders>
              <w:bottom w:val="single" w:sz="2" w:color="E5E9E7"/>
            </w:tcBorders>
          </w:tcPr>
          <w:p>
            <w:pPr>
              <w:pStyle w:val="Tabletext"/>
            </w:pPr>
            <w:r>
              <w:t>4. Options commerciales à tester</w:t>
            </w:r>
          </w:p>
        </w:tc>
        <w:tc>
          <w:tcPr>
            <w:tcW w:type="dxa" w:w="4776"/>
            <w:shd w:fill="F2F4F3"/>
            <w:tcMar>
              <w:top w:w="70" w:type="dxa"/>
              <w:start w:w="90" w:type="dxa"/>
              <w:bottom w:w="70" w:type="dxa"/>
              <w:end w:w="90" w:type="dxa"/>
            </w:tcMar>
            <w:tcBorders>
              <w:bottom w:val="single" w:sz="2" w:color="E5E9E7"/>
            </w:tcBorders>
          </w:tcPr>
          <w:p>
            <w:pPr>
              <w:pStyle w:val="Tabletext"/>
              <w:jc w:val="right"/>
            </w:pPr>
            <w:r>
              <w:t>3</w:t>
            </w:r>
          </w:p>
        </w:tc>
      </w:tr>
      <w:tr>
        <w:tc>
          <w:tcPr>
            <w:tcW w:type="dxa" w:w="4776"/>
            <w:shd w:fill="FFFFFF"/>
            <w:tcMar>
              <w:top w:w="70" w:type="dxa"/>
              <w:start w:w="90" w:type="dxa"/>
              <w:bottom w:w="70" w:type="dxa"/>
              <w:end w:w="90" w:type="dxa"/>
            </w:tcMar>
            <w:tcBorders>
              <w:bottom w:val="single" w:sz="2" w:color="E5E9E7"/>
            </w:tcBorders>
          </w:tcPr>
          <w:p>
            <w:pPr>
              <w:pStyle w:val="Tabletext"/>
            </w:pPr>
            <w:r>
              <w:t>5. Proposition de pilote</w:t>
            </w:r>
          </w:p>
        </w:tc>
        <w:tc>
          <w:tcPr>
            <w:tcW w:type="dxa" w:w="4776"/>
            <w:shd w:fill="FFFFFF"/>
            <w:tcMar>
              <w:top w:w="70" w:type="dxa"/>
              <w:start w:w="90" w:type="dxa"/>
              <w:bottom w:w="70" w:type="dxa"/>
              <w:end w:w="90" w:type="dxa"/>
            </w:tcMar>
            <w:tcBorders>
              <w:bottom w:val="single" w:sz="2" w:color="E5E9E7"/>
            </w:tcBorders>
          </w:tcPr>
          <w:p>
            <w:pPr>
              <w:pStyle w:val="Tabletext"/>
              <w:jc w:val="right"/>
            </w:pPr>
            <w:r>
              <w:t>3</w:t>
            </w:r>
          </w:p>
        </w:tc>
      </w:tr>
      <w:tr>
        <w:tc>
          <w:tcPr>
            <w:tcW w:type="dxa" w:w="4776"/>
            <w:shd w:fill="F2F4F3"/>
            <w:tcMar>
              <w:top w:w="70" w:type="dxa"/>
              <w:start w:w="90" w:type="dxa"/>
              <w:bottom w:w="70" w:type="dxa"/>
              <w:end w:w="90" w:type="dxa"/>
            </w:tcMar>
            <w:tcBorders>
              <w:bottom w:val="single" w:sz="2" w:color="E5E9E7"/>
            </w:tcBorders>
          </w:tcPr>
          <w:p>
            <w:pPr>
              <w:pStyle w:val="Tabletext"/>
            </w:pPr>
            <w:r>
              <w:t>6. Critères de succès communs</w:t>
            </w:r>
          </w:p>
        </w:tc>
        <w:tc>
          <w:tcPr>
            <w:tcW w:type="dxa" w:w="4776"/>
            <w:shd w:fill="F2F4F3"/>
            <w:tcMar>
              <w:top w:w="70" w:type="dxa"/>
              <w:start w:w="90" w:type="dxa"/>
              <w:bottom w:w="70" w:type="dxa"/>
              <w:end w:w="90" w:type="dxa"/>
            </w:tcMar>
            <w:tcBorders>
              <w:bottom w:val="single" w:sz="2" w:color="E5E9E7"/>
            </w:tcBorders>
          </w:tcPr>
          <w:p>
            <w:pPr>
              <w:pStyle w:val="Tabletext"/>
              <w:jc w:val="right"/>
            </w:pPr>
            <w:r>
              <w:t>3</w:t>
            </w:r>
          </w:p>
        </w:tc>
      </w:tr>
      <w:tr>
        <w:tc>
          <w:tcPr>
            <w:tcW w:type="dxa" w:w="4776"/>
            <w:shd w:fill="FFFFFF"/>
            <w:tcMar>
              <w:top w:w="70" w:type="dxa"/>
              <w:start w:w="90" w:type="dxa"/>
              <w:bottom w:w="70" w:type="dxa"/>
              <w:end w:w="90" w:type="dxa"/>
            </w:tcMar>
            <w:tcBorders>
              <w:bottom w:val="single" w:sz="2" w:color="E5E9E7"/>
            </w:tcBorders>
          </w:tcPr>
          <w:p>
            <w:pPr>
              <w:pStyle w:val="Tabletext"/>
            </w:pPr>
            <w:r>
              <w:t>7. Responsabilités</w:t>
            </w:r>
          </w:p>
        </w:tc>
        <w:tc>
          <w:tcPr>
            <w:tcW w:type="dxa" w:w="4776"/>
            <w:shd w:fill="FFFFFF"/>
            <w:tcMar>
              <w:top w:w="70" w:type="dxa"/>
              <w:start w:w="90" w:type="dxa"/>
              <w:bottom w:w="70" w:type="dxa"/>
              <w:end w:w="90" w:type="dxa"/>
            </w:tcMar>
            <w:tcBorders>
              <w:bottom w:val="single" w:sz="2" w:color="E5E9E7"/>
            </w:tcBorders>
          </w:tcPr>
          <w:p>
            <w:pPr>
              <w:pStyle w:val="Tabletext"/>
              <w:jc w:val="right"/>
            </w:pPr>
            <w:r>
              <w:t>4</w:t>
            </w:r>
          </w:p>
        </w:tc>
      </w:tr>
      <w:tr>
        <w:tc>
          <w:tcPr>
            <w:tcW w:type="dxa" w:w="4776"/>
            <w:shd w:fill="F2F4F3"/>
            <w:tcMar>
              <w:top w:w="70" w:type="dxa"/>
              <w:start w:w="90" w:type="dxa"/>
              <w:bottom w:w="70" w:type="dxa"/>
              <w:end w:w="90" w:type="dxa"/>
            </w:tcMar>
            <w:tcBorders>
              <w:bottom w:val="single" w:sz="2" w:color="E5E9E7"/>
            </w:tcBorders>
          </w:tcPr>
          <w:p>
            <w:pPr>
              <w:pStyle w:val="Tabletext"/>
            </w:pPr>
            <w:r>
              <w:t>8. Conditions minimales de données</w:t>
            </w:r>
          </w:p>
        </w:tc>
        <w:tc>
          <w:tcPr>
            <w:tcW w:type="dxa" w:w="4776"/>
            <w:shd w:fill="F2F4F3"/>
            <w:tcMar>
              <w:top w:w="70" w:type="dxa"/>
              <w:start w:w="90" w:type="dxa"/>
              <w:bottom w:w="70" w:type="dxa"/>
              <w:end w:w="90" w:type="dxa"/>
            </w:tcMar>
            <w:tcBorders>
              <w:bottom w:val="single" w:sz="2" w:color="E5E9E7"/>
            </w:tcBorders>
          </w:tcPr>
          <w:p>
            <w:pPr>
              <w:pStyle w:val="Tabletext"/>
              <w:jc w:val="right"/>
            </w:pPr>
            <w:r>
              <w:t>4</w:t>
            </w:r>
          </w:p>
        </w:tc>
      </w:tr>
      <w:tr>
        <w:tc>
          <w:tcPr>
            <w:tcW w:type="dxa" w:w="4776"/>
            <w:shd w:fill="FFFFFF"/>
            <w:tcMar>
              <w:top w:w="70" w:type="dxa"/>
              <w:start w:w="90" w:type="dxa"/>
              <w:bottom w:w="70" w:type="dxa"/>
              <w:end w:w="90" w:type="dxa"/>
            </w:tcMar>
            <w:tcBorders>
              <w:bottom w:val="single" w:sz="2" w:color="E5E9E7"/>
            </w:tcBorders>
          </w:tcPr>
          <w:p>
            <w:pPr>
              <w:pStyle w:val="Tabletext"/>
            </w:pPr>
            <w:r>
              <w:t>9. Plan de mise en œuvre</w:t>
            </w:r>
          </w:p>
        </w:tc>
        <w:tc>
          <w:tcPr>
            <w:tcW w:type="dxa" w:w="4776"/>
            <w:shd w:fill="FFFFFF"/>
            <w:tcMar>
              <w:top w:w="70" w:type="dxa"/>
              <w:start w:w="90" w:type="dxa"/>
              <w:bottom w:w="70" w:type="dxa"/>
              <w:end w:w="90" w:type="dxa"/>
            </w:tcMar>
            <w:tcBorders>
              <w:bottom w:val="single" w:sz="2" w:color="E5E9E7"/>
            </w:tcBorders>
          </w:tcPr>
          <w:p>
            <w:pPr>
              <w:pStyle w:val="Tabletext"/>
              <w:jc w:val="right"/>
            </w:pPr>
            <w:r>
              <w:t>4</w:t>
            </w:r>
          </w:p>
        </w:tc>
      </w:tr>
      <w:tr>
        <w:tc>
          <w:tcPr>
            <w:tcW w:type="dxa" w:w="4776"/>
            <w:shd w:fill="F2F4F3"/>
            <w:tcMar>
              <w:top w:w="70" w:type="dxa"/>
              <w:start w:w="90" w:type="dxa"/>
              <w:bottom w:w="70" w:type="dxa"/>
              <w:end w:w="90" w:type="dxa"/>
            </w:tcMar>
            <w:tcBorders>
              <w:bottom w:val="single" w:sz="2" w:color="E5E9E7"/>
            </w:tcBorders>
          </w:tcPr>
          <w:p>
            <w:pPr>
              <w:pStyle w:val="Tabletext"/>
            </w:pPr>
            <w:r>
              <w:t>10. Candidats à vérifier</w:t>
            </w:r>
          </w:p>
        </w:tc>
        <w:tc>
          <w:tcPr>
            <w:tcW w:type="dxa" w:w="4776"/>
            <w:shd w:fill="F2F4F3"/>
            <w:tcMar>
              <w:top w:w="70" w:type="dxa"/>
              <w:start w:w="90" w:type="dxa"/>
              <w:bottom w:w="70" w:type="dxa"/>
              <w:end w:w="90" w:type="dxa"/>
            </w:tcMar>
            <w:tcBorders>
              <w:bottom w:val="single" w:sz="2" w:color="E5E9E7"/>
            </w:tcBorders>
          </w:tcPr>
          <w:p>
            <w:pPr>
              <w:pStyle w:val="Tabletext"/>
              <w:jc w:val="right"/>
            </w:pPr>
            <w:r>
              <w:t>4</w:t>
            </w:r>
          </w:p>
        </w:tc>
      </w:tr>
      <w:tr>
        <w:tc>
          <w:tcPr>
            <w:tcW w:type="dxa" w:w="4776"/>
            <w:shd w:fill="FFFFFF"/>
            <w:tcMar>
              <w:top w:w="70" w:type="dxa"/>
              <w:start w:w="90" w:type="dxa"/>
              <w:bottom w:w="70" w:type="dxa"/>
              <w:end w:w="90" w:type="dxa"/>
            </w:tcMar>
            <w:tcBorders>
              <w:bottom w:val="single" w:sz="2" w:color="E5E9E7"/>
            </w:tcBorders>
          </w:tcPr>
          <w:p>
            <w:pPr>
              <w:pStyle w:val="Tabletext"/>
            </w:pPr>
            <w:r>
              <w:t>11. Modèle de courrier de prise de contact</w:t>
            </w:r>
          </w:p>
        </w:tc>
        <w:tc>
          <w:tcPr>
            <w:tcW w:type="dxa" w:w="4776"/>
            <w:shd w:fill="FFFFFF"/>
            <w:tcMar>
              <w:top w:w="70" w:type="dxa"/>
              <w:start w:w="90" w:type="dxa"/>
              <w:bottom w:w="70" w:type="dxa"/>
              <w:end w:w="90" w:type="dxa"/>
            </w:tcMar>
            <w:tcBorders>
              <w:bottom w:val="single" w:sz="2" w:color="E5E9E7"/>
            </w:tcBorders>
          </w:tcPr>
          <w:p>
            <w:pPr>
              <w:pStyle w:val="Tabletext"/>
              <w:jc w:val="right"/>
            </w:pPr>
            <w:r>
              <w:t>5</w:t>
            </w:r>
          </w:p>
        </w:tc>
      </w:tr>
      <w:tr>
        <w:tc>
          <w:tcPr>
            <w:tcW w:type="dxa" w:w="4776"/>
            <w:shd w:fill="F2F4F3"/>
            <w:tcMar>
              <w:top w:w="70" w:type="dxa"/>
              <w:start w:w="90" w:type="dxa"/>
              <w:bottom w:w="70" w:type="dxa"/>
              <w:end w:w="90" w:type="dxa"/>
            </w:tcMar>
            <w:tcBorders>
              <w:bottom w:val="single" w:sz="2" w:color="E5E9E7"/>
            </w:tcBorders>
          </w:tcPr>
          <w:p>
            <w:pPr>
              <w:pStyle w:val="Tabletext"/>
            </w:pPr>
            <w:r>
              <w:t>12. Trame de lettre d’intention</w:t>
            </w:r>
          </w:p>
        </w:tc>
        <w:tc>
          <w:tcPr>
            <w:tcW w:type="dxa" w:w="4776"/>
            <w:shd w:fill="F2F4F3"/>
            <w:tcMar>
              <w:top w:w="70" w:type="dxa"/>
              <w:start w:w="90" w:type="dxa"/>
              <w:bottom w:w="70" w:type="dxa"/>
              <w:end w:w="90" w:type="dxa"/>
            </w:tcMar>
            <w:tcBorders>
              <w:bottom w:val="single" w:sz="2" w:color="E5E9E7"/>
            </w:tcBorders>
          </w:tcPr>
          <w:p>
            <w:pPr>
              <w:pStyle w:val="Tabletext"/>
              <w:jc w:val="right"/>
            </w:pPr>
            <w:r>
              <w:t>5</w:t>
            </w:r>
          </w:p>
        </w:tc>
      </w:tr>
      <w:tr>
        <w:tc>
          <w:tcPr>
            <w:tcW w:type="dxa" w:w="4776"/>
            <w:shd w:fill="FFFFFF"/>
            <w:tcMar>
              <w:top w:w="70" w:type="dxa"/>
              <w:start w:w="90" w:type="dxa"/>
              <w:bottom w:w="70" w:type="dxa"/>
              <w:end w:w="90" w:type="dxa"/>
            </w:tcMar>
            <w:tcBorders>
              <w:bottom w:val="single" w:sz="2" w:color="E5E9E7"/>
            </w:tcBorders>
          </w:tcPr>
          <w:p>
            <w:pPr>
              <w:pStyle w:val="Tabletext"/>
            </w:pPr>
            <w:r>
              <w:t>13. Informations de contact</w:t>
            </w:r>
          </w:p>
        </w:tc>
        <w:tc>
          <w:tcPr>
            <w:tcW w:type="dxa" w:w="4776"/>
            <w:shd w:fill="FFFFFF"/>
            <w:tcMar>
              <w:top w:w="70" w:type="dxa"/>
              <w:start w:w="90" w:type="dxa"/>
              <w:bottom w:w="70" w:type="dxa"/>
              <w:end w:w="90" w:type="dxa"/>
            </w:tcMar>
            <w:tcBorders>
              <w:bottom w:val="single" w:sz="2" w:color="E5E9E7"/>
            </w:tcBorders>
          </w:tcPr>
          <w:p>
            <w:pPr>
              <w:pStyle w:val="Tabletext"/>
              <w:jc w:val="right"/>
            </w:pPr>
            <w:r>
              <w:t>6</w:t>
            </w:r>
          </w:p>
        </w:tc>
      </w:tr>
      <w:tr>
        <w:tc>
          <w:tcPr>
            <w:tcW w:type="dxa" w:w="4776"/>
            <w:shd w:fill="F2F4F3"/>
            <w:tcMar>
              <w:top w:w="70" w:type="dxa"/>
              <w:start w:w="90" w:type="dxa"/>
              <w:bottom w:w="70" w:type="dxa"/>
              <w:end w:w="90" w:type="dxa"/>
            </w:tcMar>
            <w:tcBorders>
              <w:bottom w:val="single" w:sz="2" w:color="E5E9E7"/>
            </w:tcBorders>
          </w:tcPr>
          <w:p>
            <w:pPr>
              <w:pStyle w:val="Tabletext"/>
            </w:pPr>
            <w:r>
              <w:t>14. Sources et avertissement</w:t>
            </w:r>
          </w:p>
        </w:tc>
        <w:tc>
          <w:tcPr>
            <w:tcW w:type="dxa" w:w="4776"/>
            <w:shd w:fill="F2F4F3"/>
            <w:tcMar>
              <w:top w:w="70" w:type="dxa"/>
              <w:start w:w="90" w:type="dxa"/>
              <w:bottom w:w="70" w:type="dxa"/>
              <w:end w:w="90" w:type="dxa"/>
            </w:tcMar>
            <w:tcBorders>
              <w:bottom w:val="single" w:sz="2" w:color="E5E9E7"/>
            </w:tcBorders>
          </w:tcPr>
          <w:p>
            <w:pPr>
              <w:pStyle w:val="Tabletext"/>
              <w:jc w:val="right"/>
            </w:pPr>
            <w:r>
              <w:t>6</w:t>
            </w:r>
          </w:p>
        </w:tc>
      </w:tr>
    </w:tbl>
    <w:p>
      <w:pPr>
        <w:pStyle w:val="Heading1"/>
        <w:keepNext/>
        <w:pageBreakBefore w:val="0"/>
      </w:pPr>
      <w:r>
        <w:t>1. Dëggal en une page</w:t>
      </w:r>
    </w:p>
    <w:p>
      <w:r>
        <w:t>Dëggal aide des petits commerçants, artisans et autres unités économiques à organiser des preuves simples de leur activité. Avec l’accord de la personne, un agent recueille des éléments proportionnés, un back-office contrôle la qualité et une vue filtrée peut être ouverte à un partenaire pour une finalité précise.</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289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Votre problème possible</w:t>
            </w:r>
          </w:p>
        </w:tc>
        <w:tc>
          <w:tcPr>
            <w:tcW w:type="dxa" w:w="379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Réponse testée par Dëggal</w:t>
            </w:r>
          </w:p>
        </w:tc>
        <w:tc>
          <w:tcPr>
            <w:tcW w:type="dxa" w:w="266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Limite assumée</w:t>
            </w:r>
          </w:p>
        </w:tc>
      </w:tr>
      <w:tr>
        <w:trPr>
          <w:cantSplit/>
        </w:trPr>
        <w:tc>
          <w:tcPr>
            <w:tcW w:type="dxa" w:w="289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Dossiers hétérogènes et visites répétées.</w:t>
            </w:r>
          </w:p>
        </w:tc>
        <w:tc>
          <w:tcPr>
            <w:tcW w:type="dxa" w:w="379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Passeport structuré avec faits, sources, dates et niveau de preuve.</w:t>
            </w:r>
          </w:p>
        </w:tc>
        <w:tc>
          <w:tcPr>
            <w:tcW w:type="dxa" w:w="266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Ne remplace pas votre diligence ni votre décision.</w:t>
            </w:r>
          </w:p>
        </w:tc>
      </w:tr>
      <w:tr>
        <w:trPr>
          <w:cantSplit/>
        </w:trPr>
        <w:tc>
          <w:tcPr>
            <w:tcW w:type="dxa" w:w="289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Données anciennes ou difficiles à actualiser.</w:t>
            </w:r>
          </w:p>
        </w:tc>
        <w:tc>
          <w:tcPr>
            <w:tcW w:type="dxa" w:w="379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Visite et actualisation commandées selon un protocole.</w:t>
            </w:r>
          </w:p>
        </w:tc>
        <w:tc>
          <w:tcPr>
            <w:tcW w:type="dxa" w:w="266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Une visite ne garantit pas la continuité future.</w:t>
            </w:r>
          </w:p>
        </w:tc>
      </w:tr>
      <w:tr>
        <w:trPr>
          <w:cantSplit/>
        </w:trPr>
        <w:tc>
          <w:tcPr>
            <w:tcW w:type="dxa" w:w="289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Formulaires peu compris ou abandonnés.</w:t>
            </w:r>
          </w:p>
        </w:tc>
        <w:tc>
          <w:tcPr>
            <w:tcW w:type="dxa" w:w="379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Collecte assistée et orale lorsque nécessaire.</w:t>
            </w:r>
          </w:p>
        </w:tc>
        <w:tc>
          <w:tcPr>
            <w:tcW w:type="dxa" w:w="266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La qualité dépend de la formation et du QA.</w:t>
            </w:r>
          </w:p>
        </w:tc>
      </w:tr>
      <w:tr>
        <w:trPr>
          <w:cantSplit/>
        </w:trPr>
        <w:tc>
          <w:tcPr>
            <w:tcW w:type="dxa" w:w="289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Difficulté à partager seulement l’essentiel.</w:t>
            </w:r>
          </w:p>
        </w:tc>
        <w:tc>
          <w:tcPr>
            <w:tcW w:type="dxa" w:w="379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Vue limitée par finalité, champs et durée.</w:t>
            </w:r>
          </w:p>
        </w:tc>
        <w:tc>
          <w:tcPr>
            <w:tcW w:type="dxa" w:w="266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L’accès complet au dossier n’est pas proposé par défaut.</w:t>
            </w:r>
          </w:p>
        </w:tc>
      </w:tr>
      <w:tr>
        <w:trPr>
          <w:cantSplit/>
        </w:trPr>
        <w:tc>
          <w:tcPr>
            <w:tcW w:type="dxa" w:w="289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Faible traçabilité des consentements.</w:t>
            </w:r>
          </w:p>
        </w:tc>
        <w:tc>
          <w:tcPr>
            <w:tcW w:type="dxa" w:w="379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Choix versionnés et journal de partage.</w:t>
            </w:r>
          </w:p>
        </w:tc>
        <w:tc>
          <w:tcPr>
            <w:tcW w:type="dxa" w:w="266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Le cadre doit être validé juridiquement.</w:t>
            </w:r>
          </w:p>
        </w:tc>
      </w:tr>
    </w:tbl>
    <w:p>
      <w:pPr>
        <w:spacing w:after="40"/>
      </w:pP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A33A2B"/>
            <w:tcMar>
              <w:top w:w="110" w:type="dxa"/>
              <w:start w:w="130" w:type="dxa"/>
              <w:bottom w:w="110" w:type="dxa"/>
              <w:end w:w="130" w:type="dxa"/>
            </w:tcMar>
            <w:tcBorders>
              <w:top w:val="nil"/>
              <w:left w:val="nil"/>
              <w:bottom w:val="nil"/>
              <w:right w:val="nil"/>
            </w:tcBorders>
          </w:tcPr>
          <w:p/>
        </w:tc>
        <w:tc>
          <w:tcPr>
            <w:tcW w:type="dxa" w:w="9072"/>
            <w:shd w:fill="F8E8E5"/>
            <w:tcMar>
              <w:top w:w="110" w:type="dxa"/>
              <w:start w:w="130" w:type="dxa"/>
              <w:bottom w:w="110" w:type="dxa"/>
              <w:end w:w="130" w:type="dxa"/>
            </w:tcMar>
            <w:tcBorders>
              <w:top w:val="nil"/>
              <w:left w:val="nil"/>
              <w:bottom w:val="nil"/>
              <w:right w:val="nil"/>
            </w:tcBorders>
          </w:tcPr>
          <w:p>
            <w:pPr>
              <w:pStyle w:val="Callouttitle"/>
            </w:pPr>
            <w:r>
              <w:t>Ce que Dëggal n’est pas</w:t>
            </w:r>
          </w:p>
          <w:p>
            <w:pPr>
              <w:pStyle w:val="Callouttext"/>
            </w:pPr>
            <w:r>
              <w:t>Dëggal n’est pas un prêteur, un bureau de crédit, une garantie, une agence de recouvrement, un registre public ou un vendeur de fichiers. Le partenaire reste seul responsable de sa décision.</w:t>
            </w:r>
          </w:p>
        </w:tc>
      </w:tr>
    </w:tbl>
    <w:p>
      <w:pPr>
        <w:spacing w:after="20" w:before="0"/>
      </w:pPr>
    </w:p>
    <w:p>
      <w:pPr>
        <w:pStyle w:val="Heading1"/>
        <w:keepNext/>
        <w:pageBreakBefore w:val="0"/>
      </w:pPr>
      <w:r>
        <w:t>2. Parcours d’un dossier</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147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Étape</w:t>
            </w:r>
          </w:p>
        </w:tc>
        <w:tc>
          <w:tcPr>
            <w:tcW w:type="dxa" w:w="294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Action</w:t>
            </w:r>
          </w:p>
        </w:tc>
        <w:tc>
          <w:tcPr>
            <w:tcW w:type="dxa" w:w="311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Contrôle</w:t>
            </w:r>
          </w:p>
        </w:tc>
        <w:tc>
          <w:tcPr>
            <w:tcW w:type="dxa" w:w="181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Sortie</w:t>
            </w:r>
          </w:p>
        </w:tc>
      </w:tr>
      <w:tr>
        <w:trPr>
          <w:cantSplit/>
        </w:trPr>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1. Cadrage</w:t>
            </w:r>
          </w:p>
        </w:tc>
        <w:tc>
          <w:tcPr>
            <w:tcW w:type="dxa" w:w="294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Définir finalité, champs et critères.</w:t>
            </w:r>
          </w:p>
        </w:tc>
        <w:tc>
          <w:tcPr>
            <w:tcW w:type="dxa" w:w="311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Revue données et juridique.</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Fiche de pilote.</w:t>
            </w:r>
          </w:p>
        </w:tc>
      </w:tr>
      <w:tr>
        <w:trPr>
          <w:cantSplit/>
        </w:trPr>
        <w:tc>
          <w:tcPr>
            <w:tcW w:type="dxa" w:w="14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2. Information</w:t>
            </w:r>
          </w:p>
        </w:tc>
        <w:tc>
          <w:tcPr>
            <w:tcW w:type="dxa" w:w="294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Présenter Dëggal au marchand.</w:t>
            </w:r>
          </w:p>
        </w:tc>
        <w:tc>
          <w:tcPr>
            <w:tcW w:type="dxa" w:w="311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Compréhension et absence de promesse.</w:t>
            </w:r>
          </w:p>
        </w:tc>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Choix libre.</w:t>
            </w:r>
          </w:p>
        </w:tc>
      </w:tr>
      <w:tr>
        <w:trPr>
          <w:cantSplit/>
        </w:trPr>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3. Consentement</w:t>
            </w:r>
          </w:p>
        </w:tc>
        <w:tc>
          <w:tcPr>
            <w:tcW w:type="dxa" w:w="294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Enregistrer les preuves et partages acceptés.</w:t>
            </w:r>
          </w:p>
        </w:tc>
        <w:tc>
          <w:tcPr>
            <w:tcW w:type="dxa" w:w="311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Version, langue, date et agent.</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Trace exploitable.</w:t>
            </w:r>
          </w:p>
        </w:tc>
      </w:tr>
      <w:tr>
        <w:trPr>
          <w:cantSplit/>
        </w:trPr>
        <w:tc>
          <w:tcPr>
            <w:tcW w:type="dxa" w:w="14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4. Collecte</w:t>
            </w:r>
          </w:p>
        </w:tc>
        <w:tc>
          <w:tcPr>
            <w:tcW w:type="dxa" w:w="294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Observer et recueillir le minimum.</w:t>
            </w:r>
          </w:p>
        </w:tc>
        <w:tc>
          <w:tcPr>
            <w:tcW w:type="dxa" w:w="311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Données interdites bloquées.</w:t>
            </w:r>
          </w:p>
        </w:tc>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Dossier brut.</w:t>
            </w:r>
          </w:p>
        </w:tc>
      </w:tr>
      <w:tr>
        <w:trPr>
          <w:cantSplit/>
        </w:trPr>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5. QA</w:t>
            </w:r>
          </w:p>
        </w:tc>
        <w:tc>
          <w:tcPr>
            <w:tcW w:type="dxa" w:w="294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Contrôler complétude, cohérence et source.</w:t>
            </w:r>
          </w:p>
        </w:tc>
        <w:tc>
          <w:tcPr>
            <w:tcW w:type="dxa" w:w="311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Séparation agent / validateur.</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Passeport ou reprise.</w:t>
            </w:r>
          </w:p>
        </w:tc>
      </w:tr>
      <w:tr>
        <w:trPr>
          <w:cantSplit/>
        </w:trPr>
        <w:tc>
          <w:tcPr>
            <w:tcW w:type="dxa" w:w="14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6. Partage</w:t>
            </w:r>
          </w:p>
        </w:tc>
        <w:tc>
          <w:tcPr>
            <w:tcW w:type="dxa" w:w="294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Ouvrir la vue autorisée.</w:t>
            </w:r>
          </w:p>
        </w:tc>
        <w:tc>
          <w:tcPr>
            <w:tcW w:type="dxa" w:w="311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Accès individuel, expiration et journal.</w:t>
            </w:r>
          </w:p>
        </w:tc>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Consultation partenaire.</w:t>
            </w:r>
          </w:p>
        </w:tc>
      </w:tr>
      <w:tr>
        <w:trPr>
          <w:cantSplit/>
        </w:trPr>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7. Retour</w:t>
            </w:r>
          </w:p>
        </w:tc>
        <w:tc>
          <w:tcPr>
            <w:tcW w:type="dxa" w:w="294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Mesurer utilité et décision.</w:t>
            </w:r>
          </w:p>
        </w:tc>
        <w:tc>
          <w:tcPr>
            <w:tcW w:type="dxa" w:w="311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Pas de déduction non justifiée.</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Rapport pilote.</w:t>
            </w:r>
          </w:p>
        </w:tc>
      </w:tr>
    </w:tbl>
    <w:p>
      <w:pPr>
        <w:spacing w:after="40"/>
      </w:pPr>
    </w:p>
    <w:p>
      <w:pPr>
        <w:pStyle w:val="Heading1"/>
        <w:keepNext/>
        <w:pageBreakBefore w:val="0"/>
      </w:pPr>
      <w:r>
        <w:t>3. Contenu d’une vue partenaire</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192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Bloc</w:t>
            </w:r>
          </w:p>
        </w:tc>
        <w:tc>
          <w:tcPr>
            <w:tcW w:type="dxa" w:w="402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Exemple de contenu</w:t>
            </w:r>
          </w:p>
        </w:tc>
        <w:tc>
          <w:tcPr>
            <w:tcW w:type="dxa" w:w="3402"/>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Niveau / limite</w:t>
            </w:r>
          </w:p>
        </w:tc>
      </w:tr>
      <w:tr>
        <w:trPr>
          <w:cantSplit/>
        </w:trPr>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Identité de dossier</w:t>
            </w:r>
          </w:p>
        </w:tc>
        <w:tc>
          <w:tcPr>
            <w:tcW w:type="dxa" w:w="402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Identifiant Dëggal, date et statut.</w:t>
            </w:r>
          </w:p>
        </w:tc>
        <w:tc>
          <w:tcPr>
            <w:tcW w:type="dxa" w:w="340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Pas de donnée inutile.</w:t>
            </w:r>
          </w:p>
        </w:tc>
      </w:tr>
      <w:tr>
        <w:trPr>
          <w:cantSplit/>
        </w:trPr>
        <w:tc>
          <w:tcPr>
            <w:tcW w:type="dxa" w:w="192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Activité déclarée</w:t>
            </w:r>
          </w:p>
        </w:tc>
        <w:tc>
          <w:tcPr>
            <w:tcW w:type="dxa" w:w="402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Métier, produits, ancienneté déclarée.</w:t>
            </w:r>
          </w:p>
        </w:tc>
        <w:tc>
          <w:tcPr>
            <w:tcW w:type="dxa" w:w="340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Déclaration - non certifiée seule.</w:t>
            </w:r>
          </w:p>
        </w:tc>
      </w:tr>
      <w:tr>
        <w:trPr>
          <w:cantSplit/>
        </w:trPr>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Observation</w:t>
            </w:r>
          </w:p>
        </w:tc>
        <w:tc>
          <w:tcPr>
            <w:tcW w:type="dxa" w:w="402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Lieu, ouverture, équipements visibles.</w:t>
            </w:r>
          </w:p>
        </w:tc>
        <w:tc>
          <w:tcPr>
            <w:tcW w:type="dxa" w:w="340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Datée et attribuée à l’agent.</w:t>
            </w:r>
          </w:p>
        </w:tc>
      </w:tr>
      <w:tr>
        <w:trPr>
          <w:cantSplit/>
        </w:trPr>
        <w:tc>
          <w:tcPr>
            <w:tcW w:type="dxa" w:w="192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Preuve choisie</w:t>
            </w:r>
          </w:p>
        </w:tc>
        <w:tc>
          <w:tcPr>
            <w:tcW w:type="dxa" w:w="402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Photo, reçu ou référence autorisée.</w:t>
            </w:r>
          </w:p>
        </w:tc>
        <w:tc>
          <w:tcPr>
            <w:tcW w:type="dxa" w:w="340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Visible seulement si nécessaire.</w:t>
            </w:r>
          </w:p>
        </w:tc>
      </w:tr>
      <w:tr>
        <w:trPr>
          <w:cantSplit/>
        </w:trPr>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Cohérence</w:t>
            </w:r>
          </w:p>
        </w:tc>
        <w:tc>
          <w:tcPr>
            <w:tcW w:type="dxa" w:w="402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Éléments concordants, manquants ou contradictoires.</w:t>
            </w:r>
          </w:p>
        </w:tc>
        <w:tc>
          <w:tcPr>
            <w:tcW w:type="dxa" w:w="340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Aucune conclusion de solvabilité.</w:t>
            </w:r>
          </w:p>
        </w:tc>
      </w:tr>
      <w:tr>
        <w:trPr>
          <w:cantSplit/>
        </w:trPr>
        <w:tc>
          <w:tcPr>
            <w:tcW w:type="dxa" w:w="192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Consentement</w:t>
            </w:r>
          </w:p>
        </w:tc>
        <w:tc>
          <w:tcPr>
            <w:tcW w:type="dxa" w:w="402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Finalité, champs, destinataire et expiration.</w:t>
            </w:r>
          </w:p>
        </w:tc>
        <w:tc>
          <w:tcPr>
            <w:tcW w:type="dxa" w:w="340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Doit correspondre exactement à l’accès.</w:t>
            </w:r>
          </w:p>
        </w:tc>
      </w:tr>
      <w:tr>
        <w:trPr>
          <w:cantSplit/>
        </w:trPr>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Historique</w:t>
            </w:r>
          </w:p>
        </w:tc>
        <w:tc>
          <w:tcPr>
            <w:tcW w:type="dxa" w:w="402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Actualisation, correction et retrait.</w:t>
            </w:r>
          </w:p>
        </w:tc>
        <w:tc>
          <w:tcPr>
            <w:tcW w:type="dxa" w:w="340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Traçabilité sans effacer l’ancienne version.</w:t>
            </w:r>
          </w:p>
        </w:tc>
      </w:tr>
    </w:tbl>
    <w:p>
      <w:pPr>
        <w:spacing w:after="40"/>
      </w:pPr>
    </w:p>
    <w:p>
      <w:pPr>
        <w:pStyle w:val="Heading1"/>
        <w:keepNext/>
        <w:pageBreakBefore w:val="0"/>
      </w:pPr>
      <w:r>
        <w:t>4. Options commerciales à tester</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192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Option</w:t>
            </w:r>
          </w:p>
        </w:tc>
        <w:tc>
          <w:tcPr>
            <w:tcW w:type="dxa" w:w="317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Périmètre indicatif</w:t>
            </w:r>
          </w:p>
        </w:tc>
        <w:tc>
          <w:tcPr>
            <w:tcW w:type="dxa" w:w="204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Prix de départ</w:t>
            </w:r>
          </w:p>
        </w:tc>
        <w:tc>
          <w:tcPr>
            <w:tcW w:type="dxa" w:w="221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Idéal pour</w:t>
            </w:r>
          </w:p>
        </w:tc>
      </w:tr>
      <w:tr>
        <w:trPr>
          <w:cantSplit/>
        </w:trPr>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Consultation ponctuelle</w:t>
            </w:r>
          </w:p>
        </w:tc>
        <w:tc>
          <w:tcPr>
            <w:tcW w:type="dxa" w:w="317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Un dossier et une vue définie.</w:t>
            </w:r>
          </w:p>
        </w:tc>
        <w:tc>
          <w:tcPr>
            <w:tcW w:type="dxa" w:w="204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15 000 FCFA.</w:t>
            </w:r>
          </w:p>
        </w:tc>
        <w:tc>
          <w:tcPr>
            <w:tcW w:type="dxa" w:w="221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Décision unique ou démonstration.</w:t>
            </w:r>
          </w:p>
        </w:tc>
      </w:tr>
      <w:tr>
        <w:trPr>
          <w:cantSplit/>
        </w:trPr>
        <w:tc>
          <w:tcPr>
            <w:tcW w:type="dxa" w:w="192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Accès de base</w:t>
            </w:r>
          </w:p>
        </w:tc>
        <w:tc>
          <w:tcPr>
            <w:tcW w:type="dxa" w:w="317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1 utilisateur, 20 dossiers, 4 champs.</w:t>
            </w:r>
          </w:p>
        </w:tc>
        <w:tc>
          <w:tcPr>
            <w:tcW w:type="dxa" w:w="204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25 000 FCFA / mois.</w:t>
            </w:r>
          </w:p>
        </w:tc>
        <w:tc>
          <w:tcPr>
            <w:tcW w:type="dxa" w:w="221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Équipe avec besoin récurrent limité.</w:t>
            </w:r>
          </w:p>
        </w:tc>
      </w:tr>
      <w:tr>
        <w:trPr>
          <w:cantSplit/>
        </w:trPr>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Dossier additionnel</w:t>
            </w:r>
          </w:p>
        </w:tc>
        <w:tc>
          <w:tcPr>
            <w:tcW w:type="dxa" w:w="317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Au-delà du forfait.</w:t>
            </w:r>
          </w:p>
        </w:tc>
        <w:tc>
          <w:tcPr>
            <w:tcW w:type="dxa" w:w="204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500 FCFA / dossier / mois.</w:t>
            </w:r>
          </w:p>
        </w:tc>
        <w:tc>
          <w:tcPr>
            <w:tcW w:type="dxa" w:w="221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Volume variable.</w:t>
            </w:r>
          </w:p>
        </w:tc>
      </w:tr>
      <w:tr>
        <w:trPr>
          <w:cantSplit/>
        </w:trPr>
        <w:tc>
          <w:tcPr>
            <w:tcW w:type="dxa" w:w="192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Information additionnelle</w:t>
            </w:r>
          </w:p>
        </w:tc>
        <w:tc>
          <w:tcPr>
            <w:tcW w:type="dxa" w:w="317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Champ approuvé supplémentaire.</w:t>
            </w:r>
          </w:p>
        </w:tc>
        <w:tc>
          <w:tcPr>
            <w:tcW w:type="dxa" w:w="204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2 500 FCFA / mois.</w:t>
            </w:r>
          </w:p>
        </w:tc>
        <w:tc>
          <w:tcPr>
            <w:tcW w:type="dxa" w:w="221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Cas spécifique - sous réserve données.</w:t>
            </w:r>
          </w:p>
        </w:tc>
      </w:tr>
      <w:tr>
        <w:trPr>
          <w:cantSplit/>
        </w:trPr>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Utilisateur additionnel</w:t>
            </w:r>
          </w:p>
        </w:tc>
        <w:tc>
          <w:tcPr>
            <w:tcW w:type="dxa" w:w="317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Compte nominatif.</w:t>
            </w:r>
          </w:p>
        </w:tc>
        <w:tc>
          <w:tcPr>
            <w:tcW w:type="dxa" w:w="204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5 000 FCFA / mois.</w:t>
            </w:r>
          </w:p>
        </w:tc>
        <w:tc>
          <w:tcPr>
            <w:tcW w:type="dxa" w:w="221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Équipe multi-utilisateur.</w:t>
            </w:r>
          </w:p>
        </w:tc>
      </w:tr>
      <w:tr>
        <w:trPr>
          <w:cantSplit/>
        </w:trPr>
        <w:tc>
          <w:tcPr>
            <w:tcW w:type="dxa" w:w="192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Pack marché</w:t>
            </w:r>
          </w:p>
        </w:tc>
        <w:tc>
          <w:tcPr>
            <w:tcW w:type="dxa" w:w="317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Indicateurs agrégés à définir.</w:t>
            </w:r>
          </w:p>
        </w:tc>
        <w:tc>
          <w:tcPr>
            <w:tcW w:type="dxa" w:w="204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50 000 FCFA / mois.</w:t>
            </w:r>
          </w:p>
        </w:tc>
        <w:tc>
          <w:tcPr>
            <w:tcW w:type="dxa" w:w="221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Programme ou diagnostic - après validation.</w:t>
            </w:r>
          </w:p>
        </w:tc>
      </w:tr>
      <w:tr>
        <w:trPr>
          <w:cantSplit/>
        </w:trPr>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Visite commandée</w:t>
            </w:r>
          </w:p>
        </w:tc>
        <w:tc>
          <w:tcPr>
            <w:tcW w:type="dxa" w:w="317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Nouvelle vérification selon zone et SLA.</w:t>
            </w:r>
          </w:p>
        </w:tc>
        <w:tc>
          <w:tcPr>
            <w:tcW w:type="dxa" w:w="204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8 000 FCFA.</w:t>
            </w:r>
          </w:p>
        </w:tc>
        <w:tc>
          <w:tcPr>
            <w:tcW w:type="dxa" w:w="221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Actualisation ou cas prioritaire.</w:t>
            </w:r>
          </w:p>
        </w:tc>
      </w:tr>
    </w:tbl>
    <w:p>
      <w:pPr>
        <w:spacing w:after="40"/>
      </w:pPr>
    </w:p>
    <w:p>
      <w:r>
        <w:t>Ces prix sont des hypothèses de test et non un tarif contractuel définitif. Le coût peut varier selon la zone, les déplacements, la complexité, le niveau de service, la fréquence et les exigences de sécurité.</w:t>
      </w:r>
    </w:p>
    <w:p>
      <w:pPr>
        <w:pStyle w:val="Heading1"/>
        <w:keepNext/>
        <w:pageBreakBefore w:val="0"/>
      </w:pPr>
      <w:r>
        <w:t>5. Proposition de pilote</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192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Paramètre</w:t>
            </w:r>
          </w:p>
        </w:tc>
        <w:tc>
          <w:tcPr>
            <w:tcW w:type="dxa" w:w="4082"/>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Proposition</w:t>
            </w:r>
          </w:p>
        </w:tc>
        <w:tc>
          <w:tcPr>
            <w:tcW w:type="dxa" w:w="334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À convenir</w:t>
            </w:r>
          </w:p>
        </w:tc>
      </w:tr>
      <w:tr>
        <w:trPr>
          <w:cantSplit/>
        </w:trPr>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Finalité</w:t>
            </w:r>
          </w:p>
        </w:tc>
        <w:tc>
          <w:tcPr>
            <w:tcW w:type="dxa" w:w="408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Un cas d’usage unique et documenté.</w:t>
            </w:r>
          </w:p>
        </w:tc>
        <w:tc>
          <w:tcPr>
            <w:tcW w:type="dxa" w:w="334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192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Population</w:t>
            </w:r>
          </w:p>
        </w:tc>
        <w:tc>
          <w:tcPr>
            <w:tcW w:type="dxa" w:w="408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20 à 100 dossiers autorisés.</w:t>
            </w:r>
          </w:p>
        </w:tc>
        <w:tc>
          <w:tcPr>
            <w:tcW w:type="dxa" w:w="334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Durée</w:t>
            </w:r>
          </w:p>
        </w:tc>
        <w:tc>
          <w:tcPr>
            <w:tcW w:type="dxa" w:w="408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Quatre semaines, préparation comprise.</w:t>
            </w:r>
          </w:p>
        </w:tc>
        <w:tc>
          <w:tcPr>
            <w:tcW w:type="dxa" w:w="334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192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Zone</w:t>
            </w:r>
          </w:p>
        </w:tc>
        <w:tc>
          <w:tcPr>
            <w:tcW w:type="dxa" w:w="408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Périmètre compact et évalué.</w:t>
            </w:r>
          </w:p>
        </w:tc>
        <w:tc>
          <w:tcPr>
            <w:tcW w:type="dxa" w:w="334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Données</w:t>
            </w:r>
          </w:p>
        </w:tc>
        <w:tc>
          <w:tcPr>
            <w:tcW w:type="dxa" w:w="408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Catalogue minimal et niveau de preuve.</w:t>
            </w:r>
          </w:p>
        </w:tc>
        <w:tc>
          <w:tcPr>
            <w:tcW w:type="dxa" w:w="334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192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Utilisateurs</w:t>
            </w:r>
          </w:p>
        </w:tc>
        <w:tc>
          <w:tcPr>
            <w:tcW w:type="dxa" w:w="408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Comptes nominatifs et limités.</w:t>
            </w:r>
          </w:p>
        </w:tc>
        <w:tc>
          <w:tcPr>
            <w:tcW w:type="dxa" w:w="334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Succès</w:t>
            </w:r>
          </w:p>
        </w:tc>
        <w:tc>
          <w:tcPr>
            <w:tcW w:type="dxa" w:w="408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Utilité, qualité, délai, coût, adoption et conformité.</w:t>
            </w:r>
          </w:p>
        </w:tc>
        <w:tc>
          <w:tcPr>
            <w:tcW w:type="dxa" w:w="334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192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Prix</w:t>
            </w:r>
          </w:p>
        </w:tc>
        <w:tc>
          <w:tcPr>
            <w:tcW w:type="dxa" w:w="408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Forfait ou commande selon scope.</w:t>
            </w:r>
          </w:p>
        </w:tc>
        <w:tc>
          <w:tcPr>
            <w:tcW w:type="dxa" w:w="334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Sortie</w:t>
            </w:r>
          </w:p>
        </w:tc>
        <w:tc>
          <w:tcPr>
            <w:tcW w:type="dxa" w:w="408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Suppression, prolongation ou contrat.</w:t>
            </w:r>
          </w:p>
        </w:tc>
        <w:tc>
          <w:tcPr>
            <w:tcW w:type="dxa" w:w="334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compléter]</w:t>
            </w:r>
          </w:p>
        </w:tc>
      </w:tr>
    </w:tbl>
    <w:p>
      <w:pPr>
        <w:spacing w:after="40"/>
      </w:pPr>
    </w:p>
    <w:p>
      <w:pPr>
        <w:pStyle w:val="Heading1"/>
        <w:keepNext/>
        <w:pageBreakBefore w:val="0"/>
      </w:pPr>
      <w:r>
        <w:t>6. Critères de succès communs</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175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Dimension</w:t>
            </w:r>
          </w:p>
        </w:tc>
        <w:tc>
          <w:tcPr>
            <w:tcW w:type="dxa" w:w="4082"/>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Indicateur</w:t>
            </w:r>
          </w:p>
        </w:tc>
        <w:tc>
          <w:tcPr>
            <w:tcW w:type="dxa" w:w="351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Méthode</w:t>
            </w:r>
          </w:p>
        </w:tc>
      </w:tr>
      <w:tr>
        <w:trPr>
          <w:cantSplit/>
        </w:trPr>
        <w:tc>
          <w:tcPr>
            <w:tcW w:type="dxa" w:w="175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Utilité</w:t>
            </w:r>
          </w:p>
        </w:tc>
        <w:tc>
          <w:tcPr>
            <w:tcW w:type="dxa" w:w="408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Part des dossiers ayant influencé ou accéléré une étape.</w:t>
            </w:r>
          </w:p>
        </w:tc>
        <w:tc>
          <w:tcPr>
            <w:tcW w:type="dxa" w:w="351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Question après consultation et exemple documenté.</w:t>
            </w:r>
          </w:p>
        </w:tc>
      </w:tr>
      <w:tr>
        <w:trPr>
          <w:cantSplit/>
        </w:trPr>
        <w:tc>
          <w:tcPr>
            <w:tcW w:type="dxa" w:w="175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Qualité</w:t>
            </w:r>
          </w:p>
        </w:tc>
        <w:tc>
          <w:tcPr>
            <w:tcW w:type="dxa" w:w="408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Taux de complétude, reprise, incohérence et doublon.</w:t>
            </w:r>
          </w:p>
        </w:tc>
        <w:tc>
          <w:tcPr>
            <w:tcW w:type="dxa" w:w="351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QA et échantillon audité.</w:t>
            </w:r>
          </w:p>
        </w:tc>
      </w:tr>
      <w:tr>
        <w:trPr>
          <w:cantSplit/>
        </w:trPr>
        <w:tc>
          <w:tcPr>
            <w:tcW w:type="dxa" w:w="175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Délai</w:t>
            </w:r>
          </w:p>
        </w:tc>
        <w:tc>
          <w:tcPr>
            <w:tcW w:type="dxa" w:w="408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Temps du besoin à la vue disponible.</w:t>
            </w:r>
          </w:p>
        </w:tc>
        <w:tc>
          <w:tcPr>
            <w:tcW w:type="dxa" w:w="351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Horodatages.</w:t>
            </w:r>
          </w:p>
        </w:tc>
      </w:tr>
      <w:tr>
        <w:trPr>
          <w:cantSplit/>
        </w:trPr>
        <w:tc>
          <w:tcPr>
            <w:tcW w:type="dxa" w:w="175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Coût</w:t>
            </w:r>
          </w:p>
        </w:tc>
        <w:tc>
          <w:tcPr>
            <w:tcW w:type="dxa" w:w="408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Coût actuel comparé au test, coûts complets inclus.</w:t>
            </w:r>
          </w:p>
        </w:tc>
        <w:tc>
          <w:tcPr>
            <w:tcW w:type="dxa" w:w="351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Baseline partenaire + rapport Dëggal.</w:t>
            </w:r>
          </w:p>
        </w:tc>
      </w:tr>
      <w:tr>
        <w:trPr>
          <w:cantSplit/>
        </w:trPr>
        <w:tc>
          <w:tcPr>
            <w:tcW w:type="dxa" w:w="175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Adoption</w:t>
            </w:r>
          </w:p>
        </w:tc>
        <w:tc>
          <w:tcPr>
            <w:tcW w:type="dxa" w:w="408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Utilisateurs activés et dossiers consultés.</w:t>
            </w:r>
          </w:p>
        </w:tc>
        <w:tc>
          <w:tcPr>
            <w:tcW w:type="dxa" w:w="351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Journal d’accès.</w:t>
            </w:r>
          </w:p>
        </w:tc>
      </w:tr>
      <w:tr>
        <w:trPr>
          <w:cantSplit/>
        </w:trPr>
        <w:tc>
          <w:tcPr>
            <w:tcW w:type="dxa" w:w="175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Confiance</w:t>
            </w:r>
          </w:p>
        </w:tc>
        <w:tc>
          <w:tcPr>
            <w:tcW w:type="dxa" w:w="408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Compréhension, refus, retrait, plaintes et incidents.</w:t>
            </w:r>
          </w:p>
        </w:tc>
        <w:tc>
          <w:tcPr>
            <w:tcW w:type="dxa" w:w="351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Registres et enquête courte.</w:t>
            </w:r>
          </w:p>
        </w:tc>
      </w:tr>
      <w:tr>
        <w:trPr>
          <w:cantSplit/>
        </w:trPr>
        <w:tc>
          <w:tcPr>
            <w:tcW w:type="dxa" w:w="175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Commercial</w:t>
            </w:r>
          </w:p>
        </w:tc>
        <w:tc>
          <w:tcPr>
            <w:tcW w:type="dxa" w:w="408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Budget, commande, renouvellement ou prochaine étape.</w:t>
            </w:r>
          </w:p>
        </w:tc>
        <w:tc>
          <w:tcPr>
            <w:tcW w:type="dxa" w:w="351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Document signé ou preuve d’achat.</w:t>
            </w:r>
          </w:p>
        </w:tc>
      </w:tr>
    </w:tbl>
    <w:p>
      <w:pPr>
        <w:spacing w:after="40"/>
      </w:pPr>
    </w:p>
    <w:p>
      <w:pPr>
        <w:pStyle w:val="Heading1"/>
        <w:keepNext/>
        <w:pageBreakBefore w:val="0"/>
      </w:pPr>
      <w:r>
        <w:t>7. Responsabilités</w:t>
      </w:r>
    </w:p>
    <w:tbl>
      <w:tblPr>
        <w:tblW w:type="auto" w:w="0"/>
        <w:jc w:val="center"/>
        <w:tblLayout w:type="fixed"/>
        <w:tblLook w:firstColumn="1" w:firstRow="1" w:lastColumn="0" w:lastRow="0" w:noHBand="0" w:noVBand="1" w:val="04A0"/>
      </w:tblPr>
      <w:tblGrid>
        <w:gridCol w:w="4776"/>
        <w:gridCol w:w="4776"/>
      </w:tblGrid>
      <w:tr>
        <w:trPr>
          <w:tblHeader w:val="true"/>
        </w:trPr>
        <w:tc>
          <w:tcPr>
            <w:tcW w:type="dxa" w:w="4649"/>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Dëggal</w:t>
            </w:r>
          </w:p>
        </w:tc>
        <w:tc>
          <w:tcPr>
            <w:tcW w:type="dxa" w:w="4706"/>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Partenaire</w:t>
            </w:r>
          </w:p>
        </w:tc>
      </w:tr>
      <w:tr>
        <w:trPr>
          <w:cantSplit/>
        </w:trPr>
        <w:tc>
          <w:tcPr>
            <w:tcW w:type="dxa" w:w="464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Former l’équipe et appliquer les SOP.</w:t>
            </w:r>
          </w:p>
        </w:tc>
        <w:tc>
          <w:tcPr>
            <w:tcW w:type="dxa" w:w="470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Définir une finalité légitime et compréhensible.</w:t>
            </w:r>
          </w:p>
        </w:tc>
      </w:tr>
      <w:tr>
        <w:trPr>
          <w:cantSplit/>
        </w:trPr>
        <w:tc>
          <w:tcPr>
            <w:tcW w:type="dxa" w:w="464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Recueillir le consentement selon le protocole approuvé.</w:t>
            </w:r>
          </w:p>
        </w:tc>
        <w:tc>
          <w:tcPr>
            <w:tcW w:type="dxa" w:w="470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Limiter les utilisateurs et ne pas partager secondairement.</w:t>
            </w:r>
          </w:p>
        </w:tc>
      </w:tr>
      <w:tr>
        <w:trPr>
          <w:cantSplit/>
        </w:trPr>
        <w:tc>
          <w:tcPr>
            <w:tcW w:type="dxa" w:w="464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Contrôler la qualité et distinguer les sources.</w:t>
            </w:r>
          </w:p>
        </w:tc>
        <w:tc>
          <w:tcPr>
            <w:tcW w:type="dxa" w:w="470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Interpréter les limites et conduire sa propre diligence.</w:t>
            </w:r>
          </w:p>
        </w:tc>
      </w:tr>
      <w:tr>
        <w:trPr>
          <w:cantSplit/>
        </w:trPr>
        <w:tc>
          <w:tcPr>
            <w:tcW w:type="dxa" w:w="464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Protéger, journaliser et expirer les accès.</w:t>
            </w:r>
          </w:p>
        </w:tc>
        <w:tc>
          <w:tcPr>
            <w:tcW w:type="dxa" w:w="470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Signaler immédiatement tout incident ou erreur.</w:t>
            </w:r>
          </w:p>
        </w:tc>
      </w:tr>
      <w:tr>
        <w:trPr>
          <w:cantSplit/>
        </w:trPr>
        <w:tc>
          <w:tcPr>
            <w:tcW w:type="dxa" w:w="464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Traiter correction, retrait et incident.</w:t>
            </w:r>
          </w:p>
        </w:tc>
        <w:tc>
          <w:tcPr>
            <w:tcW w:type="dxa" w:w="470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Respecter la durée et supprimer les exports à échéance.</w:t>
            </w:r>
          </w:p>
        </w:tc>
      </w:tr>
      <w:tr>
        <w:trPr>
          <w:cantSplit/>
        </w:trPr>
        <w:tc>
          <w:tcPr>
            <w:tcW w:type="dxa" w:w="464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Rapporter résultats, coûts, limites et incidents.</w:t>
            </w:r>
          </w:p>
        </w:tc>
        <w:tc>
          <w:tcPr>
            <w:tcW w:type="dxa" w:w="470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Fournir les retours nécessaires au test.</w:t>
            </w:r>
          </w:p>
        </w:tc>
      </w:tr>
    </w:tbl>
    <w:p>
      <w:pPr>
        <w:spacing w:after="40"/>
      </w:pPr>
    </w:p>
    <w:p>
      <w:pPr>
        <w:pStyle w:val="Heading1"/>
        <w:keepNext/>
        <w:pageBreakBefore w:val="0"/>
      </w:pPr>
      <w:r>
        <w:t>8. Conditions minimales de données</w:t>
      </w:r>
    </w:p>
    <w:p>
      <w:pPr>
        <w:pStyle w:val="ListBullet"/>
      </w:pPr>
      <w:r>
        <w:t>Finalité écrite avant sélection des champs.</w:t>
      </w:r>
    </w:p>
    <w:p>
      <w:pPr>
        <w:pStyle w:val="ListBullet"/>
      </w:pPr>
      <w:r>
        <w:t>Consentement distinct pour la collecte et pour le partage.</w:t>
      </w:r>
    </w:p>
    <w:p>
      <w:pPr>
        <w:pStyle w:val="ListBullet"/>
      </w:pPr>
      <w:r>
        <w:t>Aucun PIN, mot de passe, code mobile money, solde ou accès complet au téléphone.</w:t>
      </w:r>
    </w:p>
    <w:p>
      <w:pPr>
        <w:pStyle w:val="ListBullet"/>
      </w:pPr>
      <w:r>
        <w:t>Vue filtrée plutôt que dossier brut.</w:t>
      </w:r>
    </w:p>
    <w:p>
      <w:pPr>
        <w:pStyle w:val="ListBullet"/>
      </w:pPr>
      <w:r>
        <w:t>Comptes nominatifs, accès minimal et expiration.</w:t>
      </w:r>
    </w:p>
    <w:p>
      <w:pPr>
        <w:pStyle w:val="ListBullet"/>
      </w:pPr>
      <w:r>
        <w:t>Journal des consultations, exports, corrections et retraits.</w:t>
      </w:r>
    </w:p>
    <w:p>
      <w:pPr>
        <w:pStyle w:val="ListBullet"/>
      </w:pPr>
      <w:r>
        <w:t>Procédure d’incident et contacts actifs.</w:t>
      </w:r>
    </w:p>
    <w:p>
      <w:pPr>
        <w:pStyle w:val="ListBullet"/>
      </w:pPr>
      <w:r>
        <w:t>Conservation et suppression convenues par écrit.</w:t>
      </w:r>
    </w:p>
    <w:p>
      <w:pPr>
        <w:pStyle w:val="ListBullet"/>
      </w:pPr>
      <w:r>
        <w:t>Aucune utilisation secondaire, scoring ou entraînement de modèle sans analyse et autorisation distinctes.</w:t>
      </w:r>
    </w:p>
    <w:p>
      <w:pPr>
        <w:pStyle w:val="Sourcenote"/>
      </w:pPr>
      <w:r>
        <w:t>Sénégal - loi n° 2008-12 du 25 janvier 2008 sur la protection des données à caractère personnel - texte à vérifier dans sa version en vigueur. Commission de protection des données personnelles du Sénégal: https://www.cdp.sn/</w:t>
      </w:r>
    </w:p>
    <w:p>
      <w:pPr>
        <w:pStyle w:val="Heading1"/>
        <w:keepNext/>
        <w:pageBreakBefore w:val="0"/>
      </w:pPr>
      <w:r>
        <w:t>9. Plan de mise en œuvre</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147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Semaine</w:t>
            </w:r>
          </w:p>
        </w:tc>
        <w:tc>
          <w:tcPr>
            <w:tcW w:type="dxa" w:w="317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Dëggal</w:t>
            </w:r>
          </w:p>
        </w:tc>
        <w:tc>
          <w:tcPr>
            <w:tcW w:type="dxa" w:w="306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Partenaire</w:t>
            </w:r>
          </w:p>
        </w:tc>
        <w:tc>
          <w:tcPr>
            <w:tcW w:type="dxa" w:w="164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Livrable</w:t>
            </w:r>
          </w:p>
        </w:tc>
      </w:tr>
      <w:tr>
        <w:trPr>
          <w:cantSplit/>
        </w:trPr>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Préparation</w:t>
            </w:r>
          </w:p>
        </w:tc>
        <w:tc>
          <w:tcPr>
            <w:tcW w:type="dxa" w:w="317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Atelier, catalogue, formulaires, accès test.</w:t>
            </w:r>
          </w:p>
        </w:tc>
        <w:tc>
          <w:tcPr>
            <w:tcW w:type="dxa" w:w="306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Cas d’usage, utilisateurs, baseline et avis internes.</w:t>
            </w:r>
          </w:p>
        </w:tc>
        <w:tc>
          <w:tcPr>
            <w:tcW w:type="dxa" w:w="164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Fiche pilote signée.</w:t>
            </w:r>
          </w:p>
        </w:tc>
      </w:tr>
      <w:tr>
        <w:trPr>
          <w:cantSplit/>
        </w:trPr>
        <w:tc>
          <w:tcPr>
            <w:tcW w:type="dxa" w:w="14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S1</w:t>
            </w:r>
          </w:p>
        </w:tc>
        <w:tc>
          <w:tcPr>
            <w:tcW w:type="dxa" w:w="317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Petit échantillon, QA intégral et corrections.</w:t>
            </w:r>
          </w:p>
        </w:tc>
        <w:tc>
          <w:tcPr>
            <w:tcW w:type="dxa" w:w="306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Tester la vue et commenter les champs.</w:t>
            </w:r>
          </w:p>
        </w:tc>
        <w:tc>
          <w:tcPr>
            <w:tcW w:type="dxa" w:w="164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Revue de démarrage.</w:t>
            </w:r>
          </w:p>
        </w:tc>
      </w:tr>
      <w:tr>
        <w:trPr>
          <w:cantSplit/>
        </w:trPr>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S2</w:t>
            </w:r>
          </w:p>
        </w:tc>
        <w:tc>
          <w:tcPr>
            <w:tcW w:type="dxa" w:w="317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Volume contrôlé et premiers rapports.</w:t>
            </w:r>
          </w:p>
        </w:tc>
        <w:tc>
          <w:tcPr>
            <w:tcW w:type="dxa" w:w="306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Utiliser les dossiers dans le processus réel.</w:t>
            </w:r>
          </w:p>
        </w:tc>
        <w:tc>
          <w:tcPr>
            <w:tcW w:type="dxa" w:w="164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KPI intermédiaires.</w:t>
            </w:r>
          </w:p>
        </w:tc>
      </w:tr>
      <w:tr>
        <w:trPr>
          <w:cantSplit/>
        </w:trPr>
        <w:tc>
          <w:tcPr>
            <w:tcW w:type="dxa" w:w="14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S3</w:t>
            </w:r>
          </w:p>
        </w:tc>
        <w:tc>
          <w:tcPr>
            <w:tcW w:type="dxa" w:w="317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Stabiliser délai et coût; traiter écarts.</w:t>
            </w:r>
          </w:p>
        </w:tc>
        <w:tc>
          <w:tcPr>
            <w:tcW w:type="dxa" w:w="306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Documenter utilité et décisions.</w:t>
            </w:r>
          </w:p>
        </w:tc>
        <w:tc>
          <w:tcPr>
            <w:tcW w:type="dxa" w:w="164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Revue valeur / risques.</w:t>
            </w:r>
          </w:p>
        </w:tc>
      </w:tr>
      <w:tr>
        <w:trPr>
          <w:cantSplit/>
        </w:trPr>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S4</w:t>
            </w:r>
          </w:p>
        </w:tc>
        <w:tc>
          <w:tcPr>
            <w:tcW w:type="dxa" w:w="317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Rapport final et options.</w:t>
            </w:r>
          </w:p>
        </w:tc>
        <w:tc>
          <w:tcPr>
            <w:tcW w:type="dxa" w:w="306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Valider résultats et décision.</w:t>
            </w:r>
          </w:p>
        </w:tc>
        <w:tc>
          <w:tcPr>
            <w:tcW w:type="dxa" w:w="164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Go, pivot ou arrêt.</w:t>
            </w:r>
          </w:p>
        </w:tc>
      </w:tr>
    </w:tbl>
    <w:p>
      <w:pPr>
        <w:spacing w:after="40"/>
      </w:pPr>
    </w:p>
    <w:p>
      <w:pPr>
        <w:pStyle w:val="Heading1"/>
        <w:keepNext/>
        <w:pageBreakBefore w:val="0"/>
      </w:pPr>
      <w:r>
        <w:t>10. Candidats à vérifier</w:t>
      </w:r>
    </w:p>
    <w:p>
      <w:r>
        <w:t>Le pack source cite les organisations suivantes comme pistes de prospection. Leur mandat actuel, leur pertinence, leur procédure d’achat et leurs contacts doivent être vérifiés avant toute approche.</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198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Catégorie</w:t>
            </w:r>
          </w:p>
        </w:tc>
        <w:tc>
          <w:tcPr>
            <w:tcW w:type="dxa" w:w="289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Organisation candidate</w:t>
            </w:r>
          </w:p>
        </w:tc>
        <w:tc>
          <w:tcPr>
            <w:tcW w:type="dxa" w:w="4479"/>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Hypothèse de cas d’usage</w:t>
            </w:r>
          </w:p>
        </w:tc>
      </w:tr>
      <w:tr>
        <w:trPr>
          <w:cantSplit/>
        </w:trPr>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Appui / financement</w:t>
            </w:r>
          </w:p>
        </w:tc>
        <w:tc>
          <w:tcPr>
            <w:tcW w:type="dxa" w:w="289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ADEPME</w:t>
            </w:r>
          </w:p>
        </w:tc>
        <w:tc>
          <w:tcPr>
            <w:tcW w:type="dxa" w:w="447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Qualification ou suivi d’unités accompagnées.</w:t>
            </w:r>
          </w:p>
        </w:tc>
      </w:tr>
      <w:tr>
        <w:trPr>
          <w:cantSplit/>
        </w:trPr>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Appui / financement</w:t>
            </w:r>
          </w:p>
        </w:tc>
        <w:tc>
          <w:tcPr>
            <w:tcW w:type="dxa" w:w="289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DER/FJ</w:t>
            </w:r>
          </w:p>
        </w:tc>
        <w:tc>
          <w:tcPr>
            <w:tcW w:type="dxa" w:w="447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Dossiers et preuves pour programmes ciblés.</w:t>
            </w:r>
          </w:p>
        </w:tc>
      </w:tr>
      <w:tr>
        <w:trPr>
          <w:cantSplit/>
        </w:trPr>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Chambre consulaire</w:t>
            </w:r>
          </w:p>
        </w:tc>
        <w:tc>
          <w:tcPr>
            <w:tcW w:type="dxa" w:w="289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CCIAD</w:t>
            </w:r>
          </w:p>
        </w:tc>
        <w:tc>
          <w:tcPr>
            <w:tcW w:type="dxa" w:w="447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Connaissance et accompagnement des acteurs.</w:t>
            </w:r>
          </w:p>
        </w:tc>
      </w:tr>
      <w:tr>
        <w:trPr>
          <w:cantSplit/>
        </w:trPr>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Emploi / entrepreneuriat</w:t>
            </w:r>
          </w:p>
        </w:tc>
        <w:tc>
          <w:tcPr>
            <w:tcW w:type="dxa" w:w="289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ANPEJ</w:t>
            </w:r>
          </w:p>
        </w:tc>
        <w:tc>
          <w:tcPr>
            <w:tcW w:type="dxa" w:w="447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Suivi de bénéficiaires et activités.</w:t>
            </w:r>
          </w:p>
        </w:tc>
      </w:tr>
      <w:tr>
        <w:trPr>
          <w:cantSplit/>
        </w:trPr>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Garantie</w:t>
            </w:r>
          </w:p>
        </w:tc>
        <w:tc>
          <w:tcPr>
            <w:tcW w:type="dxa" w:w="289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FONGIP</w:t>
            </w:r>
          </w:p>
        </w:tc>
        <w:tc>
          <w:tcPr>
            <w:tcW w:type="dxa" w:w="447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Préqualification - sans remplacer l’analyse.</w:t>
            </w:r>
          </w:p>
        </w:tc>
      </w:tr>
      <w:tr>
        <w:trPr>
          <w:cantSplit/>
        </w:trPr>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Artisanat</w:t>
            </w:r>
          </w:p>
        </w:tc>
        <w:tc>
          <w:tcPr>
            <w:tcW w:type="dxa" w:w="289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Chambre de métiers de Dakar</w:t>
            </w:r>
          </w:p>
        </w:tc>
        <w:tc>
          <w:tcPr>
            <w:tcW w:type="dxa" w:w="447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Cartographie et actualisation d’activités.</w:t>
            </w:r>
          </w:p>
        </w:tc>
      </w:tr>
      <w:tr>
        <w:trPr>
          <w:cantSplit/>
        </w:trPr>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Innovation</w:t>
            </w:r>
          </w:p>
        </w:tc>
        <w:tc>
          <w:tcPr>
            <w:tcW w:type="dxa" w:w="289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CTIC Dakar</w:t>
            </w:r>
          </w:p>
        </w:tc>
        <w:tc>
          <w:tcPr>
            <w:tcW w:type="dxa" w:w="447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Pilote, accompagnement et introductions.</w:t>
            </w:r>
          </w:p>
        </w:tc>
      </w:tr>
      <w:tr>
        <w:trPr>
          <w:cantSplit/>
        </w:trPr>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Écosystème</w:t>
            </w:r>
          </w:p>
        </w:tc>
        <w:tc>
          <w:tcPr>
            <w:tcW w:type="dxa" w:w="289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Jokkolabs</w:t>
            </w:r>
          </w:p>
        </w:tc>
        <w:tc>
          <w:tcPr>
            <w:tcW w:type="dxa" w:w="447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Atelier de validation et réseau.</w:t>
            </w:r>
          </w:p>
        </w:tc>
      </w:tr>
      <w:tr>
        <w:trPr>
          <w:cantSplit/>
        </w:trPr>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Entrepreneuriat</w:t>
            </w:r>
          </w:p>
        </w:tc>
        <w:tc>
          <w:tcPr>
            <w:tcW w:type="dxa" w:w="289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Orange Corners Sénégal</w:t>
            </w:r>
          </w:p>
        </w:tc>
        <w:tc>
          <w:tcPr>
            <w:tcW w:type="dxa" w:w="447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Accompagnement et test de solution.</w:t>
            </w:r>
          </w:p>
        </w:tc>
      </w:tr>
      <w:tr>
        <w:trPr>
          <w:cantSplit/>
        </w:trPr>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Microfinance</w:t>
            </w:r>
          </w:p>
        </w:tc>
        <w:tc>
          <w:tcPr>
            <w:tcW w:type="dxa" w:w="289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ACEP Sénégal</w:t>
            </w:r>
          </w:p>
        </w:tc>
        <w:tc>
          <w:tcPr>
            <w:tcW w:type="dxa" w:w="447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Cas de qualification terrain - sous réserve.</w:t>
            </w:r>
          </w:p>
        </w:tc>
      </w:tr>
    </w:tbl>
    <w:p>
      <w:pPr>
        <w:spacing w:after="40"/>
      </w:pPr>
    </w:p>
    <w:p>
      <w:pPr>
        <w:pStyle w:val="Heading1"/>
        <w:keepNext/>
        <w:pageBreakBefore w:val="0"/>
      </w:pPr>
      <w:r>
        <w:t>11. Modèle de courrier de prise de contact</w:t>
      </w: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0B5947"/>
            <w:tcMar>
              <w:top w:w="110" w:type="dxa"/>
              <w:start w:w="130" w:type="dxa"/>
              <w:bottom w:w="110" w:type="dxa"/>
              <w:end w:w="130" w:type="dxa"/>
            </w:tcMar>
            <w:tcBorders>
              <w:top w:val="nil"/>
              <w:left w:val="nil"/>
              <w:bottom w:val="nil"/>
              <w:right w:val="nil"/>
            </w:tcBorders>
          </w:tcPr>
          <w:p/>
        </w:tc>
        <w:tc>
          <w:tcPr>
            <w:tcW w:type="dxa" w:w="9072"/>
            <w:shd w:fill="EAF3EF"/>
            <w:tcMar>
              <w:top w:w="110" w:type="dxa"/>
              <w:start w:w="130" w:type="dxa"/>
              <w:bottom w:w="110" w:type="dxa"/>
              <w:end w:w="130" w:type="dxa"/>
            </w:tcMar>
            <w:tcBorders>
              <w:top w:val="nil"/>
              <w:left w:val="nil"/>
              <w:bottom w:val="nil"/>
              <w:right w:val="nil"/>
            </w:tcBorders>
          </w:tcPr>
          <w:p>
            <w:pPr>
              <w:pStyle w:val="Callouttitle"/>
            </w:pPr>
            <w:r>
              <w:t>Objet - Entretien sur la vérification d’activités économiques</w:t>
            </w:r>
          </w:p>
          <w:p>
            <w:pPr>
              <w:pStyle w:val="Callouttext"/>
            </w:pPr>
            <w:r>
              <w:t>Bonjour [Nom]. Nous préparons un pilote limité de Dëggal, une méthode assistée pour organiser, avec consentement, des preuves d’activité de petits opérateurs. Avant de proposer quoi que ce soit, nous souhaitons comprendre votre processus actuel, les informations utiles, les délais et les difficultés rencontrées. Accepteriez-vous un entretien de 30 minutes avec [fonction]? Dëggal ne propose ni prêt, ni garantie, ni vente de données.</w:t>
            </w:r>
          </w:p>
        </w:tc>
      </w:tr>
    </w:tbl>
    <w:p>
      <w:pPr>
        <w:spacing w:after="20" w:before="0"/>
      </w:pPr>
    </w:p>
    <w:p>
      <w:pPr>
        <w:pStyle w:val="Heading1"/>
        <w:keepNext/>
        <w:pageBreakBefore w:val="0"/>
      </w:pPr>
      <w:r>
        <w:t>12. Trame de lettre d’intention</w:t>
      </w:r>
    </w:p>
    <w:tbl>
      <w:tblPr>
        <w:tblW w:type="auto" w:w="0"/>
        <w:jc w:val="center"/>
        <w:tblLayout w:type="fixed"/>
        <w:tblLook w:firstColumn="1" w:firstRow="1" w:lastColumn="0" w:lastRow="0" w:noHBand="0" w:noVBand="1" w:val="04A0"/>
      </w:tblPr>
      <w:tblGrid>
        <w:gridCol w:w="4776"/>
        <w:gridCol w:w="4776"/>
      </w:tblGrid>
      <w:tr>
        <w:trPr>
          <w:tblHeader w:val="true"/>
        </w:trPr>
        <w:tc>
          <w:tcPr>
            <w:tcW w:type="dxa" w:w="198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Clause</w:t>
            </w:r>
          </w:p>
        </w:tc>
        <w:tc>
          <w:tcPr>
            <w:tcW w:type="dxa" w:w="737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Contenu à préciser</w:t>
            </w:r>
          </w:p>
        </w:tc>
      </w:tr>
      <w:tr>
        <w:trPr>
          <w:cantSplit/>
        </w:trPr>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Parties</w:t>
            </w:r>
          </w:p>
        </w:tc>
        <w:tc>
          <w:tcPr>
            <w:tcW w:type="dxa" w:w="737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Identité légale, représentants et coordonnées.</w:t>
            </w:r>
          </w:p>
        </w:tc>
      </w:tr>
      <w:tr>
        <w:trPr>
          <w:cantSplit/>
        </w:trPr>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Objet</w:t>
            </w:r>
          </w:p>
        </w:tc>
        <w:tc>
          <w:tcPr>
            <w:tcW w:type="dxa" w:w="737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Évaluer un cas d’usage défini sans engagement de déploiement large.</w:t>
            </w:r>
          </w:p>
        </w:tc>
      </w:tr>
      <w:tr>
        <w:trPr>
          <w:cantSplit/>
        </w:trPr>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Périmètre</w:t>
            </w:r>
          </w:p>
        </w:tc>
        <w:tc>
          <w:tcPr>
            <w:tcW w:type="dxa" w:w="737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Population, zone, durée, champs, utilisateurs et volumes.</w:t>
            </w:r>
          </w:p>
        </w:tc>
      </w:tr>
      <w:tr>
        <w:trPr>
          <w:cantSplit/>
        </w:trPr>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Contributions</w:t>
            </w:r>
          </w:p>
        </w:tc>
        <w:tc>
          <w:tcPr>
            <w:tcW w:type="dxa" w:w="737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Ressources, accès, données, formation et budget de chaque partie.</w:t>
            </w:r>
          </w:p>
        </w:tc>
      </w:tr>
      <w:tr>
        <w:trPr>
          <w:cantSplit/>
        </w:trPr>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Succès</w:t>
            </w:r>
          </w:p>
        </w:tc>
        <w:tc>
          <w:tcPr>
            <w:tcW w:type="dxa" w:w="737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Indicateurs, baseline, méthode et seuils.</w:t>
            </w:r>
          </w:p>
        </w:tc>
      </w:tr>
      <w:tr>
        <w:trPr>
          <w:cantSplit/>
        </w:trPr>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Données</w:t>
            </w:r>
          </w:p>
        </w:tc>
        <w:tc>
          <w:tcPr>
            <w:tcW w:type="dxa" w:w="737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Rôles, finalité, base, sécurité, droits, conservation et incident.</w:t>
            </w:r>
          </w:p>
        </w:tc>
      </w:tr>
      <w:tr>
        <w:trPr>
          <w:cantSplit/>
        </w:trPr>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Confidentialité</w:t>
            </w:r>
          </w:p>
        </w:tc>
        <w:tc>
          <w:tcPr>
            <w:tcW w:type="dxa" w:w="737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Informations protégées, exceptions et durée.</w:t>
            </w:r>
          </w:p>
        </w:tc>
      </w:tr>
      <w:tr>
        <w:trPr>
          <w:cantSplit/>
        </w:trPr>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Propriété</w:t>
            </w:r>
          </w:p>
        </w:tc>
        <w:tc>
          <w:tcPr>
            <w:tcW w:type="dxa" w:w="737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Méthode, livrables, données et droits d’utilisation.</w:t>
            </w:r>
          </w:p>
        </w:tc>
      </w:tr>
      <w:tr>
        <w:trPr>
          <w:cantSplit/>
        </w:trPr>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Coût</w:t>
            </w:r>
          </w:p>
        </w:tc>
        <w:tc>
          <w:tcPr>
            <w:tcW w:type="dxa" w:w="737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Prix, taxes, acompte, échéances et remboursement éventuel.</w:t>
            </w:r>
          </w:p>
        </w:tc>
      </w:tr>
      <w:tr>
        <w:trPr>
          <w:cantSplit/>
        </w:trPr>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Nature</w:t>
            </w:r>
          </w:p>
        </w:tc>
        <w:tc>
          <w:tcPr>
            <w:tcW w:type="dxa" w:w="737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Clauses contraignantes / non contraignantes à distinguer.</w:t>
            </w:r>
          </w:p>
        </w:tc>
      </w:tr>
      <w:tr>
        <w:trPr>
          <w:cantSplit/>
        </w:trPr>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Sortie</w:t>
            </w:r>
          </w:p>
        </w:tc>
        <w:tc>
          <w:tcPr>
            <w:tcW w:type="dxa" w:w="737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Arrêt, restitution, suppression, rapport et option de suite.</w:t>
            </w:r>
          </w:p>
        </w:tc>
      </w:tr>
      <w:tr>
        <w:trPr>
          <w:cantSplit/>
        </w:trPr>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Droit applicable</w:t>
            </w:r>
          </w:p>
        </w:tc>
        <w:tc>
          <w:tcPr>
            <w:tcW w:type="dxa" w:w="737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À valider par conseil juridique.</w:t>
            </w:r>
          </w:p>
        </w:tc>
      </w:tr>
    </w:tbl>
    <w:p>
      <w:pPr>
        <w:spacing w:after="40"/>
      </w:pPr>
    </w:p>
    <w:p>
      <w:pPr>
        <w:pStyle w:val="Heading1"/>
        <w:keepNext/>
        <w:pageBreakBefore w:val="0"/>
      </w:pPr>
      <w:r>
        <w:t>13. Informations de contact</w:t>
      </w:r>
    </w:p>
    <w:tbl>
      <w:tblPr>
        <w:tblW w:type="auto" w:w="0"/>
        <w:jc w:val="center"/>
        <w:tblLayout w:type="fixed"/>
        <w:tblLook w:firstColumn="1" w:firstRow="1" w:lastColumn="0" w:lastRow="0" w:noHBand="0" w:noVBand="1" w:val="04A0"/>
      </w:tblPr>
      <w:tblGrid>
        <w:gridCol w:w="4776"/>
        <w:gridCol w:w="4776"/>
      </w:tblGrid>
      <w:tr>
        <w:trPr>
          <w:tblHeader w:val="true"/>
        </w:trPr>
        <w:tc>
          <w:tcPr>
            <w:tcW w:type="dxa" w:w="300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Champ</w:t>
            </w:r>
          </w:p>
        </w:tc>
        <w:tc>
          <w:tcPr>
            <w:tcW w:type="dxa" w:w="6350"/>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Information</w:t>
            </w:r>
          </w:p>
        </w:tc>
      </w:tr>
      <w:tr>
        <w:trPr>
          <w:cantSplit/>
        </w:trPr>
        <w:tc>
          <w:tcPr>
            <w:tcW w:type="dxa" w:w="300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Entité juridique</w:t>
            </w:r>
          </w:p>
        </w:tc>
        <w:tc>
          <w:tcPr>
            <w:tcW w:type="dxa" w:w="635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300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Nom commercial</w:t>
            </w:r>
          </w:p>
        </w:tc>
        <w:tc>
          <w:tcPr>
            <w:tcW w:type="dxa" w:w="635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Dëggal - à confirmer.</w:t>
            </w:r>
          </w:p>
        </w:tc>
      </w:tr>
      <w:tr>
        <w:trPr>
          <w:cantSplit/>
        </w:trPr>
        <w:tc>
          <w:tcPr>
            <w:tcW w:type="dxa" w:w="300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RCCM / NINEA / registre</w:t>
            </w:r>
          </w:p>
        </w:tc>
        <w:tc>
          <w:tcPr>
            <w:tcW w:type="dxa" w:w="635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300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Adresse</w:t>
            </w:r>
          </w:p>
        </w:tc>
        <w:tc>
          <w:tcPr>
            <w:tcW w:type="dxa" w:w="635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300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Représentant</w:t>
            </w:r>
          </w:p>
        </w:tc>
        <w:tc>
          <w:tcPr>
            <w:tcW w:type="dxa" w:w="635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300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Contact partenariats</w:t>
            </w:r>
          </w:p>
        </w:tc>
        <w:tc>
          <w:tcPr>
            <w:tcW w:type="dxa" w:w="635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300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Contact données / retrait</w:t>
            </w:r>
          </w:p>
        </w:tc>
        <w:tc>
          <w:tcPr>
            <w:tcW w:type="dxa" w:w="635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300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Site et domaine</w:t>
            </w:r>
          </w:p>
        </w:tc>
        <w:tc>
          <w:tcPr>
            <w:tcW w:type="dxa" w:w="635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[À compléter et vérifier]</w:t>
            </w:r>
          </w:p>
        </w:tc>
      </w:tr>
    </w:tbl>
    <w:p>
      <w:pPr>
        <w:spacing w:after="40"/>
      </w:pPr>
    </w:p>
    <w:p>
      <w:pPr>
        <w:pStyle w:val="Heading1"/>
        <w:keepNext/>
        <w:pageBreakBefore w:val="0"/>
      </w:pPr>
      <w:r>
        <w:t>14. Sources et avertissement</w:t>
      </w:r>
    </w:p>
    <w:p>
      <w:pPr>
        <w:pStyle w:val="Sourcenote"/>
      </w:pPr>
      <w:r>
        <w:t>Pack Dëggal reconstruit, version du 12 juillet 2026 - source interne. Sénégal - loi n° 2008-12 du 25 janvier 2008 sur la protection des données à caractère personnel - texte à vérifier dans sa version en vigueur. Commission de protection des données personnelles du Sénégal: https://www.cdp.sn/ OIT - économie informelle: https://www.ilo.org/topics-and-sectors/informal-economy BCEAO - publications sur l’inclusion financière dans l’UEMOA: https://www.bceao.int/</w:t>
      </w:r>
    </w:p>
    <w:p>
      <w:r>
        <w:t>Ce dossier est une base de discussion. Toute proposition externe doit être adaptée au partenaire, validée par les responsables compétents et accompagnée des contrats et avis requis.</w:t>
      </w:r>
    </w:p>
    <w:sectPr w:rsidR="00FC693F" w:rsidRPr="0006063C" w:rsidSect="00034616">
      <w:headerReference w:type="default" r:id="rId10"/>
      <w:footerReference w:type="default" r:id="rId11"/>
      <w:pgSz w:w="11906" w:h="16838"/>
      <w:pgMar w:top="1134" w:right="1134" w:bottom="1020" w:left="1219" w:header="397" w:footer="369" w:gutter="0"/>
      <w:cols w:space="720"/>
      <w:titlePg/>
      <w:docGrid w:linePitch="360"/>
      <w:pgNumType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tblLayout w:type="fixed"/>
      <w:tblLook w:firstColumn="1" w:firstRow="1" w:lastColumn="0" w:lastRow="0" w:noHBand="0" w:noVBand="1" w:val="04A0"/>
    </w:tblPr>
    <w:tblGrid>
      <w:gridCol w:w="3184"/>
      <w:gridCol w:w="3184"/>
      <w:gridCol w:w="3184"/>
    </w:tblGrid>
    <w:tr>
      <w:tc>
        <w:tcPr>
          <w:tcW w:type="dxa" w:w="2551"/>
          <w:tcBorders>
            <w:top w:val="single" w:sz="4" w:color="D6DEDA"/>
          </w:tcBorders>
        </w:tcPr>
        <w:p>
          <w:pPr>
            <w:spacing w:before="40" w:after="0"/>
            <w:jc w:val="left"/>
          </w:pPr>
          <w:r>
            <w:rPr>
              <w:color w:val="6D7471"/>
              <w:sz w:val="14"/>
            </w:rPr>
            <w:t>Confidentiel - diffusion contrôlée</w:t>
          </w:r>
        </w:p>
      </w:tc>
      <w:tc>
        <w:tcPr>
          <w:tcW w:type="dxa" w:w="4450"/>
          <w:tcBorders>
            <w:top w:val="single" w:sz="4" w:color="D6DEDA"/>
          </w:tcBorders>
        </w:tcPr>
        <w:p>
          <w:pPr>
            <w:spacing w:before="40" w:after="0"/>
            <w:jc w:val="center"/>
          </w:pPr>
          <w:r>
            <w:rPr>
              <w:color w:val="6D7471"/>
              <w:sz w:val="14"/>
            </w:rPr>
            <w:t>12 juillet 2026</w:t>
          </w:r>
        </w:p>
      </w:tc>
      <w:tc>
        <w:tcPr>
          <w:tcW w:type="dxa" w:w="2551"/>
          <w:tcBorders>
            <w:top w:val="single" w:sz="4" w:color="D6DEDA"/>
          </w:tcBorders>
        </w:tcPr>
        <w:p>
          <w:pPr>
            <w:spacing w:before="40" w:after="0"/>
            <w:jc w:val="center"/>
          </w:pPr>
          <w:r>
            <w:rPr>
              <w:color w:val="6D7471"/>
              <w:sz w:val="14"/>
            </w:rPr>
            <w:t xml:space="preserve">Page </w:t>
          </w:r>
        </w:p>
      </w:tc>
    </w:tr>
  </w:tbl>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tblLayout w:type="fixed"/>
      <w:tblLook w:firstColumn="1" w:firstRow="1" w:lastColumn="0" w:lastRow="0" w:noHBand="0" w:noVBand="1" w:val="04A0"/>
    </w:tblPr>
    <w:tblGrid>
      <w:gridCol w:w="3184"/>
      <w:gridCol w:w="3184"/>
      <w:gridCol w:w="3184"/>
    </w:tblGrid>
    <w:tr>
      <w:tc>
        <w:tcPr>
          <w:tcW w:type="dxa" w:w="2551"/>
          <w:tcBorders>
            <w:bottom w:val="single" w:sz="8" w:color="D4A936"/>
          </w:tcBorders>
        </w:tcPr>
        <w:p>
          <w:pPr>
            <w:spacing w:after="40"/>
            <w:jc w:val="left"/>
          </w:pPr>
          <w:r>
            <w:rPr>
              <w:rFonts w:ascii="Carlito" w:hAnsi="Carlito"/>
              <w:b/>
              <w:color w:val="0B5947"/>
              <w:sz w:val="15"/>
            </w:rPr>
            <w:t>DËGGAL</w:t>
          </w:r>
        </w:p>
      </w:tc>
      <w:tc>
        <w:tcPr>
          <w:tcW w:type="dxa" w:w="4450"/>
          <w:tcBorders>
            <w:bottom w:val="single" w:sz="8" w:color="D4A936"/>
          </w:tcBorders>
        </w:tcPr>
        <w:p>
          <w:pPr>
            <w:spacing w:after="40"/>
            <w:jc w:val="center"/>
          </w:pPr>
          <w:r>
            <w:rPr>
              <w:rFonts w:ascii="Carlito" w:hAnsi="Carlito"/>
              <w:b w:val="0"/>
              <w:color w:val="6D7471"/>
              <w:sz w:val="15"/>
            </w:rPr>
            <w:t>Dossier partenaires</w:t>
          </w:r>
        </w:p>
      </w:tc>
      <w:tc>
        <w:tcPr>
          <w:tcW w:type="dxa" w:w="2551"/>
          <w:tcBorders>
            <w:bottom w:val="single" w:sz="8" w:color="D4A936"/>
          </w:tcBorders>
        </w:tcPr>
        <w:p>
          <w:pPr>
            <w:spacing w:after="40"/>
            <w:jc w:val="right"/>
          </w:pPr>
          <w:r>
            <w:rPr>
              <w:rFonts w:ascii="Carlito" w:hAnsi="Carlito"/>
              <w:b w:val="0"/>
              <w:color w:val="6D7471"/>
              <w:sz w:val="15"/>
            </w:rPr>
            <w:t>Édition consolidée</w:t>
          </w:r>
        </w:p>
      </w:tc>
    </w:tr>
  </w:tbl>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10" w:line="271" w:lineRule="auto"/>
    </w:pPr>
    <w:rPr>
      <w:rFonts w:ascii="Carlito" w:hAnsi="Carlito"/>
      <w:color w:val="1F2A26"/>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40"/>
      <w:outlineLvl w:val="0"/>
    </w:pPr>
    <w:rPr>
      <w:rFonts w:asciiTheme="majorHAnsi" w:eastAsiaTheme="majorEastAsia" w:hAnsiTheme="majorHAnsi" w:cstheme="majorBidi" w:ascii="Cabin" w:hAnsi="Cabin"/>
      <w:b/>
      <w:bCs/>
      <w:color w:val="0B5947"/>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Cabin" w:hAnsi="Cabin"/>
      <w:b/>
      <w:bCs/>
      <w:color w:val="C97B42"/>
      <w:sz w:val="25"/>
      <w:szCs w:val="26"/>
    </w:rPr>
  </w:style>
  <w:style w:type="paragraph" w:styleId="Heading3">
    <w:name w:val="heading 3"/>
    <w:basedOn w:val="Normal"/>
    <w:next w:val="Normal"/>
    <w:link w:val="Heading3Char"/>
    <w:uiPriority w:val="9"/>
    <w:unhideWhenUsed/>
    <w:qFormat/>
    <w:rsid w:val="00FC693F"/>
    <w:pPr>
      <w:keepNext/>
      <w:keepLines/>
      <w:spacing w:before="180" w:after="60"/>
      <w:outlineLvl w:val="2"/>
    </w:pPr>
    <w:rPr>
      <w:rFonts w:asciiTheme="majorHAnsi" w:eastAsiaTheme="majorEastAsia" w:hAnsiTheme="majorHAnsi" w:cstheme="majorBidi" w:ascii="Cabin" w:hAnsi="Cabin"/>
      <w:b/>
      <w:bCs/>
      <w:color w:val="443A78"/>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00" w:line="240" w:lineRule="auto" w:before="0"/>
      <w:contextualSpacing/>
    </w:pPr>
    <w:rPr>
      <w:rFonts w:asciiTheme="majorHAnsi" w:eastAsiaTheme="majorEastAsia" w:hAnsiTheme="majorHAnsi" w:cstheme="majorBidi" w:ascii="Cabin" w:hAnsi="Cabin"/>
      <w:b/>
      <w:color w:val="0B5947"/>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160"/>
    </w:pPr>
    <w:rPr>
      <w:rFonts w:asciiTheme="majorHAnsi" w:eastAsiaTheme="majorEastAsia" w:hAnsiTheme="majorHAnsi" w:cstheme="majorBidi" w:ascii="Cabin" w:hAnsi="Cabin"/>
      <w:b w:val="0"/>
      <w:i/>
      <w:iCs/>
      <w:color w:val="6D7471"/>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Carlito" w:hAnsi="Carlito"/>
      <w:sz w:val="20"/>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Carlito" w:hAnsi="Carlito"/>
      <w:sz w:val="20"/>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note">
    <w:name w:val="Small note"/>
    <w:pPr>
      <w:spacing w:after="40"/>
    </w:pPr>
    <w:rPr>
      <w:rFonts w:ascii="Carlito" w:hAnsi="Carlito"/>
      <w:color w:val="6D7471"/>
      <w:sz w:val="16"/>
    </w:rPr>
  </w:style>
  <w:style w:type="paragraph" w:customStyle="1" w:styleId="Sourcenote">
    <w:name w:val="Source note"/>
    <w:pPr>
      <w:spacing w:before="40" w:after="80"/>
    </w:pPr>
    <w:rPr>
      <w:rFonts w:ascii="Carlito" w:hAnsi="Carlito"/>
      <w:i/>
      <w:color w:val="6D7471"/>
      <w:sz w:val="15"/>
    </w:rPr>
  </w:style>
  <w:style w:type="paragraph" w:customStyle="1" w:styleId="Tabletext">
    <w:name w:val="Table text"/>
    <w:pPr>
      <w:spacing w:after="0" w:line="240" w:lineRule="auto"/>
    </w:pPr>
    <w:rPr>
      <w:rFonts w:ascii="Carlito" w:hAnsi="Carlito"/>
      <w:color w:val="1F2A26"/>
      <w:sz w:val="17"/>
    </w:rPr>
  </w:style>
  <w:style w:type="paragraph" w:customStyle="1" w:styleId="KPIlabel">
    <w:name w:val="KPI label"/>
    <w:pPr>
      <w:spacing w:after="0"/>
    </w:pPr>
    <w:rPr>
      <w:rFonts w:ascii="Carlito" w:hAnsi="Carlito"/>
      <w:b/>
      <w:color w:val="6D7471"/>
      <w:sz w:val="15"/>
    </w:rPr>
  </w:style>
  <w:style w:type="paragraph" w:customStyle="1" w:styleId="KPIvalue">
    <w:name w:val="KPI value"/>
    <w:pPr>
      <w:spacing w:after="20"/>
    </w:pPr>
    <w:rPr>
      <w:rFonts w:ascii="Cabin" w:hAnsi="Cabin"/>
      <w:b/>
      <w:color w:val="0B5947"/>
      <w:sz w:val="32"/>
    </w:rPr>
  </w:style>
  <w:style w:type="paragraph" w:customStyle="1" w:styleId="Callouttitle">
    <w:name w:val="Callout title"/>
    <w:pPr>
      <w:spacing w:after="40"/>
    </w:pPr>
    <w:rPr>
      <w:rFonts w:ascii="Cabin" w:hAnsi="Cabin"/>
      <w:b/>
      <w:color w:val="143B31"/>
      <w:sz w:val="20"/>
    </w:rPr>
  </w:style>
  <w:style w:type="paragraph" w:customStyle="1" w:styleId="Callouttext">
    <w:name w:val="Callout text"/>
    <w:pPr>
      <w:spacing w:after="20"/>
    </w:pPr>
    <w:rPr>
      <w:rFonts w:ascii="Carlito" w:hAnsi="Carlito"/>
      <w:color w:val="1F2A26"/>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