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00"/>
        <w:jc w:val="center"/>
      </w:pPr>
      <w:r>
        <w:rPr>
          <w:rFonts w:ascii="Cabin" w:hAnsi="Cabin"/>
          <w:b/>
          <w:color w:val="0B5947"/>
          <w:sz w:val="24"/>
        </w:rPr>
        <w:t>DËGGAL</w:t>
      </w:r>
    </w:p>
    <w:p>
      <w:pPr>
        <w:spacing w:after="240"/>
        <w:jc w:val="center"/>
      </w:pPr>
      <w:r>
        <w:rPr>
          <w:sz w:val="15"/>
        </w:rPr>
        <w:t>INFRASTRUCTURE DE PREUVE POUR LES ACTIVITÉS ÉCONOMIQUES INFORMELLES</w:t>
      </w:r>
    </w:p>
    <w:p>
      <w:pPr>
        <w:jc w:val="center"/>
      </w:pPr>
      <w:r/>
    </w:p>
    <w:p>
      <w:pPr>
        <w:spacing w:before="160" w:after="60"/>
        <w:jc w:val="center"/>
      </w:pPr>
      <w:r>
        <w:rPr>
          <w:rFonts w:ascii="Cabin" w:hAnsi="Cabin"/>
          <w:b/>
          <w:color w:val="D4A936"/>
          <w:sz w:val="18"/>
        </w:rPr>
        <w:t>PLAN MARKETING</w:t>
      </w:r>
    </w:p>
    <w:p>
      <w:pPr>
        <w:pStyle w:val="Title"/>
        <w:jc w:val="center"/>
      </w:pPr>
      <w:r>
        <w:t>Plan marketing et lancement</w:t>
      </w:r>
    </w:p>
    <w:p>
      <w:pPr>
        <w:pStyle w:val="Subtitle"/>
        <w:jc w:val="center"/>
      </w:pPr>
      <w:r>
        <w:t>Positionnement, messages, acquisition, conversion et plan d’exécution sur 90 jours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2041"/>
            <w:shd w:fill="0B5947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  <w:color w:val="FFFFFF"/>
              </w:rPr>
              <w:t>Statut</w:t>
            </w:r>
          </w:p>
        </w:tc>
        <w:tc>
          <w:tcPr>
            <w:tcW w:type="dxa" w:w="6237"/>
            <w:shd w:fill="F2F4F3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Édition consolidée - canaux, budgets et preuves à valider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Édition</w:t>
            </w:r>
          </w:p>
        </w:tc>
        <w:tc>
          <w:tcPr>
            <w:tcW w:type="dxa" w:w="6237"/>
            <w:shd w:fill="FFFFF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Consolidée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Audience</w:t>
            </w:r>
          </w:p>
        </w:tc>
        <w:tc>
          <w:tcPr>
            <w:tcW w:type="dxa" w:w="6237"/>
            <w:shd w:fill="F2F4F3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Direction, partenariats, communication, opérations et finance</w:t>
            </w:r>
          </w:p>
        </w:tc>
      </w:tr>
      <w:tr>
        <w:tc>
          <w:tcPr>
            <w:tcW w:type="dxa" w:w="2041"/>
            <w:shd w:fill="EAF3E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rPr>
                <w:b/>
              </w:rPr>
              <w:t>Édition</w:t>
            </w:r>
          </w:p>
        </w:tc>
        <w:tc>
          <w:tcPr>
            <w:tcW w:type="dxa" w:w="6237"/>
            <w:shd w:fill="FFFFFF"/>
            <w:tcMar>
              <w:top w:w="110" w:type="dxa"/>
              <w:start w:w="120" w:type="dxa"/>
              <w:bottom w:w="110" w:type="dxa"/>
              <w:end w:w="120" w:type="dxa"/>
            </w:tcMar>
            <w:tcBorders>
              <w:bottom w:val="single" w:sz="4" w:color="D6DEDA"/>
            </w:tcBorders>
          </w:tcPr>
          <w:p>
            <w:pPr>
              <w:pStyle w:val="Tabletext"/>
            </w:pPr>
            <w:r>
              <w:t>12 juillet 2026</w:t>
            </w:r>
          </w:p>
        </w:tc>
      </w:tr>
    </w:tbl>
    <w:p/>
    <w:p>
      <w:pPr>
        <w:jc w:val="center"/>
      </w:pPr>
      <w:r>
        <w:rPr>
          <w:b/>
          <w:color w:val="443A78"/>
          <w:sz w:val="16"/>
        </w:rPr>
        <w:t>Confidentiel - diffusion contrôlée</w:t>
      </w:r>
    </w:p>
    <w:p>
      <w:pPr>
        <w:jc w:val="center"/>
      </w:pPr>
      <w:r>
        <w:rPr>
          <w:i/>
          <w:color w:val="6D7471"/>
          <w:sz w:val="15"/>
        </w:rPr>
        <w:t>Les objectifs et hypothèses ne doivent pas être présentés comme des résultats obtenus.</w:t>
      </w:r>
    </w:p>
    <w:p>
      <w:pPr>
        <w:sectPr>
          <w:headerReference w:type="default" r:id="rId12"/>
          <w:footerReference w:type="default" r:id="rId13"/>
          <w:pgSz w:w="11906" w:h="16838"/>
          <w:pgMar w:top="1134" w:right="1134" w:bottom="1134" w:left="1134" w:header="720" w:footer="720" w:gutter="0"/>
          <w:cols w:space="720"/>
          <w:titlePg/>
          <w:docGrid w:linePitch="360"/>
        </w:sectPr>
      </w:pPr>
    </w:p>
    <w:p>
      <w:pPr>
        <w:spacing w:before="60" w:after="40"/>
      </w:pPr>
      <w:r>
        <w:rPr>
          <w:rFonts w:ascii="Cabin" w:hAnsi="Cabin"/>
          <w:b/>
          <w:color w:val="D4A936"/>
          <w:sz w:val="16"/>
        </w:rPr>
        <w:t>CRÉER LA CONFIANCE AVANT LA CROISSANCE</w:t>
      </w:r>
    </w:p>
    <w:p>
      <w:pPr>
        <w:pStyle w:val="Title"/>
        <w:jc w:val="left"/>
      </w:pPr>
      <w:r>
        <w:t>Plan marketing et lancement</w:t>
      </w:r>
    </w:p>
    <w:p>
      <w:pPr>
        <w:pStyle w:val="Subtitle"/>
        <w:jc w:val="left"/>
      </w:pPr>
      <w:r>
        <w:t>Un plan concentré sur des preuves commerciales - pas sur la visibilité seule.</w:t>
      </w:r>
    </w:p>
    <w:p>
      <w:pPr>
        <w:spacing w:after="120"/>
        <w:pBdr>
          <w:bottom w:val="single" w:sz="12" w:space="1" w:color="D4A936"/>
        </w:pBdr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2</w:t>
            </w:r>
          </w:p>
          <w:p>
            <w:pPr>
              <w:pStyle w:val="KPIlabel"/>
              <w:jc w:val="center"/>
            </w:pPr>
            <w:r>
              <w:t>segments prioritaires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30 jours</w:t>
            </w:r>
          </w:p>
          <w:p>
            <w:pPr>
              <w:pStyle w:val="KPIlabel"/>
              <w:jc w:val="center"/>
            </w:pPr>
            <w:r>
              <w:t>pilote de preuve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20-30</w:t>
            </w:r>
          </w:p>
          <w:p>
            <w:pPr>
              <w:pStyle w:val="KPIlabel"/>
              <w:jc w:val="center"/>
            </w:pPr>
            <w:r>
              <w:t>entretiens partenaires</w:t>
            </w:r>
          </w:p>
        </w:tc>
      </w:tr>
      <w:tr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3</w:t>
            </w:r>
          </w:p>
          <w:p>
            <w:pPr>
              <w:pStyle w:val="KPIlabel"/>
              <w:jc w:val="center"/>
            </w:pPr>
            <w:r>
              <w:t>tests de prix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2F4F3"/>
          </w:tcPr>
          <w:p>
            <w:pPr>
              <w:pStyle w:val="KPIvalue"/>
              <w:jc w:val="center"/>
            </w:pPr>
            <w:r/>
            <w:r>
              <w:t>1</w:t>
            </w:r>
          </w:p>
          <w:p>
            <w:pPr>
              <w:pStyle w:val="KPIlabel"/>
              <w:jc w:val="center"/>
            </w:pPr>
            <w:r>
              <w:t>preuve commerciale forte</w:t>
            </w:r>
          </w:p>
        </w:tc>
        <w:tc>
          <w:tcPr>
            <w:tcW w:type="dxa" w:w="3118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val="single" w:sz="5" w:color="D6DEDA"/>
              <w:left w:val="single" w:sz="5" w:color="D6DEDA"/>
              <w:bottom w:val="single" w:sz="5" w:color="D6DEDA"/>
              <w:right w:val="single" w:sz="5" w:color="D6DEDA"/>
            </w:tcBorders>
            <w:shd w:fill="FFFFFF"/>
          </w:tcPr>
          <w:p>
            <w:pPr>
              <w:pStyle w:val="KPIvalue"/>
              <w:jc w:val="center"/>
            </w:pPr>
            <w:r/>
            <w:r>
              <w:t>90 jours</w:t>
            </w:r>
          </w:p>
          <w:p>
            <w:pPr>
              <w:pStyle w:val="KPIlabel"/>
              <w:jc w:val="center"/>
            </w:pPr>
            <w:r>
              <w:t>horizon de validation</w:t>
            </w:r>
          </w:p>
        </w:tc>
      </w:tr>
    </w:tbl>
    <w:p>
      <w:pPr>
        <w:spacing w:after="2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cantSplit/>
        </w:trPr>
        <w:tc>
          <w:tcPr>
            <w:tcW w:type="dxa" w:w="141"/>
            <w:shd w:fill="A33A2B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type="dxa" w:w="9072"/>
            <w:shd w:fill="F8E8E5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allouttitle"/>
            </w:pPr>
            <w:r>
              <w:t>Principe</w:t>
            </w:r>
          </w:p>
          <w:p>
            <w:pPr>
              <w:pStyle w:val="Callouttext"/>
            </w:pPr>
            <w:r>
              <w:t>Dëggal ne doit pas promettre l’accès à un crédit, une subvention ou un marché. Le message porte sur l’organisation de preuves d’activité et sur un accès partenaire limité, utile et contrôlé.</w:t>
            </w:r>
          </w:p>
        </w:tc>
      </w:tr>
    </w:tbl>
    <w:p>
      <w:pPr>
        <w:spacing w:after="20" w:before="0"/>
      </w:pPr>
    </w:p>
    <w:p>
      <w:pPr>
        <w:pStyle w:val="Heading1"/>
        <w:keepNext/>
        <w:pageBreakBefore w:val="0"/>
      </w:pPr>
      <w:r>
        <w:t>Table des matières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8334"/>
            <w:shd w:fill="143B31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pStyle w:val="Tabletext"/>
            </w:pPr>
            <w:r>
              <w:rPr>
                <w:b/>
                <w:color w:val="FFFFFF"/>
              </w:rPr>
              <w:t>Section</w:t>
            </w:r>
          </w:p>
        </w:tc>
        <w:tc>
          <w:tcPr>
            <w:tcW w:type="dxa" w:w="1020"/>
            <w:shd w:fill="143B31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pStyle w:val="Tabletext"/>
            </w:pPr>
            <w:r>
              <w:rPr>
                <w:b/>
                <w:color w:val="FFFFFF"/>
              </w:rPr>
              <w:t>Page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1. Objectifs de lancement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2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2. Segments prioritaires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2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3. Positionnement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2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4. Architecture des messages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3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5. Messages autorisés et interdits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3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6. Offre et tests de prix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3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7. Entonnoir de conversion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4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8. Canaux prioritaires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4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9. Plan éditorial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5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10. Plan d’action sur 30 jours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5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11. Plan 31-90 jours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5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12. Scripts de prospection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6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13. Objections et réponses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6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14. Budget marketing pilote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6</w:t>
            </w:r>
          </w:p>
        </w:tc>
      </w:tr>
      <w:tr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15. Tableau de bord marketing</w:t>
            </w:r>
          </w:p>
        </w:tc>
        <w:tc>
          <w:tcPr>
            <w:tcW w:type="dxa" w:w="4776"/>
            <w:shd w:fill="FFFFFF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7</w:t>
            </w:r>
          </w:p>
        </w:tc>
      </w:tr>
      <w:tr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</w:pPr>
            <w:r>
              <w:t>16. Sources et limites</w:t>
            </w:r>
          </w:p>
        </w:tc>
        <w:tc>
          <w:tcPr>
            <w:tcW w:type="dxa" w:w="4776"/>
            <w:shd w:fill="F2F4F3"/>
            <w:tcMar>
              <w:top w:w="70" w:type="dxa"/>
              <w:start w:w="90" w:type="dxa"/>
              <w:bottom w:w="70" w:type="dxa"/>
              <w:end w:w="90" w:type="dxa"/>
            </w:tcMar>
            <w:tcBorders>
              <w:bottom w:val="single" w:sz="2" w:color="E5E9E7"/>
            </w:tcBorders>
          </w:tcPr>
          <w:p>
            <w:pPr>
              <w:pStyle w:val="Tabletext"/>
              <w:jc w:val="right"/>
            </w:pPr>
            <w:r>
              <w:t>7</w:t>
            </w:r>
          </w:p>
        </w:tc>
      </w:tr>
    </w:tbl>
    <w:p>
      <w:pPr>
        <w:pStyle w:val="Heading1"/>
        <w:keepNext/>
        <w:pageBreakBefore w:val="0"/>
      </w:pPr>
      <w:r>
        <w:t>1. Objectifs de lancement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175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Objectif</w:t>
            </w:r>
          </w:p>
        </w:tc>
        <w:tc>
          <w:tcPr>
            <w:tcW w:type="dxa" w:w="283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Mesure</w:t>
            </w:r>
          </w:p>
        </w:tc>
        <w:tc>
          <w:tcPr>
            <w:tcW w:type="dxa" w:w="272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Cible de validation</w:t>
            </w:r>
          </w:p>
        </w:tc>
        <w:tc>
          <w:tcPr>
            <w:tcW w:type="dxa" w:w="204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Ce qui ne suffit pas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Compréhension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Personnes capables de reformuler la proposition.</w:t>
            </w:r>
          </w:p>
        </w:tc>
        <w:tc>
          <w:tcPr>
            <w:tcW w:type="dxa" w:w="272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≥ 80 % dans un test de 20 personnes.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Likes, impressions ou présence événementielle.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Adoption marchand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Consentements valides et dossiers complétés.</w:t>
            </w:r>
          </w:p>
        </w:tc>
        <w:tc>
          <w:tcPr>
            <w:tcW w:type="dxa" w:w="272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250 approchés, 200 profils partageables visés.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Fiches commencées sans qualité.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Utilité partenaire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Dossiers consultés et décisions accélérées.</w:t>
            </w:r>
          </w:p>
        </w:tc>
        <w:tc>
          <w:tcPr>
            <w:tcW w:type="dxa" w:w="272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Retours documentés sur des cas réels.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Intérêt verbal général.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Disposition à payer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Prix accepté, commande, acompte ou contrat.</w:t>
            </w:r>
          </w:p>
        </w:tc>
        <w:tc>
          <w:tcPr>
            <w:tcW w:type="dxa" w:w="272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Au moins une preuve commerciale forte.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Promesse non datée.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Économie unitaire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Revenu et coût complet par dossier/partenaire.</w:t>
            </w:r>
          </w:p>
        </w:tc>
        <w:tc>
          <w:tcPr>
            <w:tcW w:type="dxa" w:w="272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Trajectoire crédible vers marge positive.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Revenu sans coûts de direction, tech et conformité.</w:t>
            </w:r>
          </w:p>
        </w:tc>
      </w:tr>
      <w:tr>
        <w:trPr>
          <w:cantSplit/>
        </w:trPr>
        <w:tc>
          <w:tcPr>
            <w:tcW w:type="dxa" w:w="175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Confiance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Consentement, retrait, incidents et plaintes.</w:t>
            </w:r>
          </w:p>
        </w:tc>
        <w:tc>
          <w:tcPr>
            <w:tcW w:type="dxa" w:w="272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100 % traçable, 0 donnée interdite.</w:t>
            </w:r>
          </w:p>
        </w:tc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Absence apparente de plainte sans canal accessible.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2. Segments prioritaires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11"/>
        <w:gridCol w:w="1911"/>
        <w:gridCol w:w="1911"/>
        <w:gridCol w:w="1911"/>
        <w:gridCol w:w="1911"/>
      </w:tblGrid>
      <w:tr>
        <w:trPr>
          <w:tblHeader w:val="true"/>
        </w:trPr>
        <w:tc>
          <w:tcPr>
            <w:tcW w:type="dxa" w:w="73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Priorité</w:t>
            </w:r>
          </w:p>
        </w:tc>
        <w:tc>
          <w:tcPr>
            <w:tcW w:type="dxa" w:w="215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Segment</w:t>
            </w:r>
          </w:p>
        </w:tc>
        <w:tc>
          <w:tcPr>
            <w:tcW w:type="dxa" w:w="323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Problème précis</w:t>
            </w:r>
          </w:p>
        </w:tc>
        <w:tc>
          <w:tcPr>
            <w:tcW w:type="dxa" w:w="170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Acheteur</w:t>
            </w:r>
          </w:p>
        </w:tc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Offre test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1</w:t>
            </w:r>
          </w:p>
        </w:tc>
        <w:tc>
          <w:tcPr>
            <w:tcW w:type="dxa" w:w="215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Programmes d’appui aux MPME</w:t>
            </w:r>
          </w:p>
        </w:tc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Identifier, qualifier et suivre des bénéficiaires avec preuves homogènes.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Responsable programme / suivi.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Pack pilote limité à une zone et un cas d’usage.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1</w:t>
            </w:r>
          </w:p>
        </w:tc>
        <w:tc>
          <w:tcPr>
            <w:tcW w:type="dxa" w:w="215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Institutions financières ou coopératives</w:t>
            </w:r>
          </w:p>
        </w:tc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Réduire les visites répétées et organiser les pièces non standard.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Opérations / risque / réseau.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Consultation ciblée sans scoring ni promesse de crédit.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2</w:t>
            </w:r>
          </w:p>
        </w:tc>
        <w:tc>
          <w:tcPr>
            <w:tcW w:type="dxa" w:w="215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Acheteurs, distributeurs et plateformes</w:t>
            </w:r>
          </w:p>
        </w:tc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Vérifier fournisseurs et points de vente.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Achats / développement réseau.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Vérification commandée à l’unité.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2</w:t>
            </w:r>
          </w:p>
        </w:tc>
        <w:tc>
          <w:tcPr>
            <w:tcW w:type="dxa" w:w="215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ONG et projets de terrain</w:t>
            </w:r>
          </w:p>
        </w:tc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Prouver activité, présence et progression.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Programme / MEAL.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Dossier et reporting agrégé.</w:t>
            </w:r>
          </w:p>
        </w:tc>
      </w:tr>
      <w:tr>
        <w:trPr>
          <w:cantSplit/>
        </w:trPr>
        <w:tc>
          <w:tcPr>
            <w:tcW w:type="dxa" w:w="73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3</w:t>
            </w:r>
          </w:p>
        </w:tc>
        <w:tc>
          <w:tcPr>
            <w:tcW w:type="dxa" w:w="215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Collectivités et chambres</w:t>
            </w:r>
          </w:p>
        </w:tc>
        <w:tc>
          <w:tcPr>
            <w:tcW w:type="dxa" w:w="323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Mieux connaître des unités économiques locales.</w:t>
            </w:r>
          </w:p>
        </w:tc>
        <w:tc>
          <w:tcPr>
            <w:tcW w:type="dxa" w:w="170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Développement économique.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Diagnostic de zone - après validation juridique.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cantSplit/>
        </w:trPr>
        <w:tc>
          <w:tcPr>
            <w:tcW w:type="dxa" w:w="141"/>
            <w:shd w:fill="0B5947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type="dxa" w:w="9072"/>
            <w:shd w:fill="EAF3EF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allouttitle"/>
            </w:pPr>
            <w:r>
              <w:t>Choix recommandé</w:t>
            </w:r>
          </w:p>
          <w:p>
            <w:pPr>
              <w:pStyle w:val="Callouttext"/>
            </w:pPr>
            <w:r>
              <w:t>Concentrer les 30 premiers jours sur les programmes d’appui et les institutions financières/cooperatives. Les autres segments restent des options - pas des priorités simultanées.</w:t>
            </w:r>
          </w:p>
        </w:tc>
      </w:tr>
    </w:tbl>
    <w:p>
      <w:pPr>
        <w:spacing w:after="20" w:before="0"/>
      </w:pPr>
    </w:p>
    <w:p>
      <w:pPr>
        <w:pStyle w:val="Heading1"/>
        <w:keepNext/>
        <w:pageBreakBefore w:val="0"/>
      </w:pPr>
      <w:r>
        <w:t>3. Positionnement</w:t>
      </w:r>
    </w:p>
    <w:p>
      <w:r>
        <w:t>Dëggal est une infrastructure de preuve assistée qui aide une personne à organiser des faits vérifiables sur son activité et permet à un partenaire autorisé de consulter une vue proportionnée. Le service se distingue d’un simple annuaire, d’un formulaire de collecte, d’un bureau de crédit ou d’un outil de paiement.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209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Alternative</w:t>
            </w:r>
          </w:p>
        </w:tc>
        <w:tc>
          <w:tcPr>
            <w:tcW w:type="dxa" w:w="328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Ce qu’elle fait</w:t>
            </w:r>
          </w:p>
        </w:tc>
        <w:tc>
          <w:tcPr>
            <w:tcW w:type="dxa" w:w="3969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Écart que Dëggal teste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Registre / annuaire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Liste des personnes et activités.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Actualisation, preuves, consentement de partage et qualité.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Formulaire numérique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Collecte structurée.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Assistance orale, vérification terrain et distinction des sources.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KYC classique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Vérifie l’identité et certains documents.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Preuve d’activité proportionnée - sans remplacer le KYC.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Bureau de crédit / scoring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Produit une information ou un score de risque.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Dëggal ne calcule pas de score et ne prédit pas le remboursement.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Enquête terrain ponctuelle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Produit un rapport à un moment donné.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Passeport actualisable, accès filtré et journalisé.</w:t>
            </w:r>
          </w:p>
        </w:tc>
      </w:tr>
      <w:tr>
        <w:trPr>
          <w:cantSplit/>
        </w:trPr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Mobile money</w:t>
            </w:r>
          </w:p>
        </w:tc>
        <w:tc>
          <w:tcPr>
            <w:tcW w:type="dxa" w:w="328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Permet paiements et laisse des traces.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Dëggal ne demande pas l’accès au compte; il organise plusieurs types de preuves.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4. Architecture des messages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181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Public</w:t>
            </w:r>
          </w:p>
        </w:tc>
        <w:tc>
          <w:tcPr>
            <w:tcW w:type="dxa" w:w="3402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Message principal</w:t>
            </w:r>
          </w:p>
        </w:tc>
        <w:tc>
          <w:tcPr>
            <w:tcW w:type="dxa" w:w="255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Preuve à montrer</w:t>
            </w:r>
          </w:p>
        </w:tc>
        <w:tc>
          <w:tcPr>
            <w:tcW w:type="dxa" w:w="215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Appel à l’action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Marchand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Gardez le contrôle de preuves simples de votre activité.</w:t>
            </w:r>
          </w:p>
        </w:tc>
        <w:tc>
          <w:tcPr>
            <w:tcW w:type="dxa" w:w="255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Exemple de passeport et choix de consentement.</w:t>
            </w:r>
          </w:p>
        </w:tc>
        <w:tc>
          <w:tcPr>
            <w:tcW w:type="dxa" w:w="215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Écouter l’explication ou créer un dossier volontaire.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Programme d’appui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Qualifiez et suivez des unités avec des preuves datées.</w:t>
            </w:r>
          </w:p>
        </w:tc>
        <w:tc>
          <w:tcPr>
            <w:tcW w:type="dxa" w:w="255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Dossier exemple, QA, journal et rapport.</w:t>
            </w:r>
          </w:p>
        </w:tc>
        <w:tc>
          <w:tcPr>
            <w:tcW w:type="dxa" w:w="215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Définir un cas pilote.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Institution financière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Obtenez une vue terrain structurée sans prétendre remplacer votre analyse.</w:t>
            </w:r>
          </w:p>
        </w:tc>
        <w:tc>
          <w:tcPr>
            <w:tcW w:type="dxa" w:w="255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Niveaux de preuve et temps de traitement.</w:t>
            </w:r>
          </w:p>
        </w:tc>
        <w:tc>
          <w:tcPr>
            <w:tcW w:type="dxa" w:w="215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Tester sur un petit échantillon.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Acheteur / distributeur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Vérifiez l’existence et la continuité d’un point de vente ou fournisseur.</w:t>
            </w:r>
          </w:p>
        </w:tc>
        <w:tc>
          <w:tcPr>
            <w:tcW w:type="dxa" w:w="255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Visite commandée et compte rendu.</w:t>
            </w:r>
          </w:p>
        </w:tc>
        <w:tc>
          <w:tcPr>
            <w:tcW w:type="dxa" w:w="215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Commander un test limité.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Financeur / incubateur</w:t>
            </w:r>
          </w:p>
        </w:tc>
        <w:tc>
          <w:tcPr>
            <w:tcW w:type="dxa" w:w="340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Financez une validation contrôlée avant l’industrialisation.</w:t>
            </w:r>
          </w:p>
        </w:tc>
        <w:tc>
          <w:tcPr>
            <w:tcW w:type="dxa" w:w="255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Budget, gates, risques et modèle 36 mois.</w:t>
            </w:r>
          </w:p>
        </w:tc>
        <w:tc>
          <w:tcPr>
            <w:tcW w:type="dxa" w:w="215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Financer le pilote conditionnel.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5. Messages autorisés et interdits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tblHeader w:val="true"/>
        </w:trPr>
        <w:tc>
          <w:tcPr>
            <w:tcW w:type="dxa" w:w="4649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Autorisé</w:t>
            </w:r>
          </w:p>
        </w:tc>
        <w:tc>
          <w:tcPr>
            <w:tcW w:type="dxa" w:w="4706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Interdit ou à reformuler</w:t>
            </w:r>
          </w:p>
        </w:tc>
      </w:tr>
      <w:tr>
        <w:trPr>
          <w:cantSplit/>
        </w:trPr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Nous organisons des preuves d’activité avec votre accord. »</w:t>
            </w:r>
          </w:p>
        </w:tc>
        <w:tc>
          <w:tcPr>
            <w:tcW w:type="dxa" w:w="470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Inscrivez-vous pour recevoir un prêt. »</w:t>
            </w:r>
          </w:p>
        </w:tc>
      </w:tr>
      <w:tr>
        <w:trPr>
          <w:cantSplit/>
        </w:trPr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Le partenaire décide selon ses propres règles. »</w:t>
            </w:r>
          </w:p>
        </w:tc>
        <w:tc>
          <w:tcPr>
            <w:tcW w:type="dxa" w:w="470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Dëggal vous rend éligible. »</w:t>
            </w:r>
          </w:p>
        </w:tc>
      </w:tr>
      <w:tr>
        <w:trPr>
          <w:cantSplit/>
        </w:trPr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Vous choisissez ce qui peut être collecté et partagé. »</w:t>
            </w:r>
          </w:p>
        </w:tc>
        <w:tc>
          <w:tcPr>
            <w:tcW w:type="dxa" w:w="470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Donnez-nous accès à votre mobile money. »</w:t>
            </w:r>
          </w:p>
        </w:tc>
      </w:tr>
      <w:tr>
        <w:trPr>
          <w:cantSplit/>
        </w:trPr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Chaque preuve indique sa source et sa date. »</w:t>
            </w:r>
          </w:p>
        </w:tc>
        <w:tc>
          <w:tcPr>
            <w:tcW w:type="dxa" w:w="470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Votre dossier est certifié sans réserve. »</w:t>
            </w:r>
          </w:p>
        </w:tc>
      </w:tr>
      <w:tr>
        <w:trPr>
          <w:cantSplit/>
        </w:trPr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Vous pouvez demander la correction ou le retrait selon la procédure. »</w:t>
            </w:r>
          </w:p>
        </w:tc>
        <w:tc>
          <w:tcPr>
            <w:tcW w:type="dxa" w:w="4706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Une fois envoyé, le dossier appartient au partenaire. »</w:t>
            </w:r>
          </w:p>
        </w:tc>
      </w:tr>
      <w:tr>
        <w:trPr>
          <w:cantSplit/>
        </w:trPr>
        <w:tc>
          <w:tcPr>
            <w:tcW w:type="dxa" w:w="464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Le pilote teste l’utilité et le prix. »</w:t>
            </w:r>
          </w:p>
        </w:tc>
        <w:tc>
          <w:tcPr>
            <w:tcW w:type="dxa" w:w="4706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« Le marché est déjà acquis. »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6. Offre et tests de prix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187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Offre</w:t>
            </w:r>
          </w:p>
        </w:tc>
        <w:tc>
          <w:tcPr>
            <w:tcW w:type="dxa" w:w="238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Prix de départ issu du pack</w:t>
            </w:r>
          </w:p>
        </w:tc>
        <w:tc>
          <w:tcPr>
            <w:tcW w:type="dxa" w:w="311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Test à mener</w:t>
            </w:r>
          </w:p>
        </w:tc>
        <w:tc>
          <w:tcPr>
            <w:tcW w:type="dxa" w:w="198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Décision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Consultation ponctuelle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15 000 FCFA.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Temps économisé, utilité et nombre de champs.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Maintenir, segmenter ou abandonner.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Accès partenaire de base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25 000 FCFA / mois - 1 compte, 20 dossiers, 4 champs.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Usage réel et valeur par utilisateur.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Ajuster volume, durée ou prix.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Dossier additionnel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500 FCFA / mois.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Coût de service et perception de simplicité.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Forfait ou unité.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Information additionnelle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2 500 FCFA / mois.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Valeur marginale et risque de données.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Limiter ou inclure.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Utilisateur additionnel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5 000 FCFA / mois.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Nombre d’équipes et contrôle d’accès.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Prix par siège ou palier.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Pack marché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50 000 FCFA / mois.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Définition de l’agrégat et confidentialité.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N’offrir qu’après validation juridique.</w:t>
            </w:r>
          </w:p>
        </w:tc>
      </w:tr>
      <w:tr>
        <w:trPr>
          <w:cantSplit/>
        </w:trPr>
        <w:tc>
          <w:tcPr>
            <w:tcW w:type="dxa" w:w="187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Visite commandée</w:t>
            </w:r>
          </w:p>
        </w:tc>
        <w:tc>
          <w:tcPr>
            <w:tcW w:type="dxa" w:w="238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8 000 FCFA.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Distance, durée, taux de reprise et marge.</w:t>
            </w:r>
          </w:p>
        </w:tc>
        <w:tc>
          <w:tcPr>
            <w:tcW w:type="dxa" w:w="198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Prix par zone / SLA.</w:t>
            </w:r>
          </w:p>
        </w:tc>
      </w:tr>
    </w:tbl>
    <w:p>
      <w:pPr>
        <w:spacing w:after="40"/>
      </w:pPr>
    </w:p>
    <w:p>
      <w:r>
        <w:t>Les prix sont des hypothèses de départ. Ils doivent être testés avec une description constante de l’offre, un cas d’usage réel et une question de budget - pas uniquement une question d’intérêt.</w:t>
      </w:r>
    </w:p>
    <w:p>
      <w:pPr>
        <w:pStyle w:val="Heading1"/>
        <w:keepNext/>
        <w:pageBreakBefore w:val="0"/>
      </w:pPr>
      <w:r>
        <w:t>7. Entonnoir de conversion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164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Étape</w:t>
            </w:r>
          </w:p>
        </w:tc>
        <w:tc>
          <w:tcPr>
            <w:tcW w:type="dxa" w:w="232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Entrée</w:t>
            </w:r>
          </w:p>
        </w:tc>
        <w:tc>
          <w:tcPr>
            <w:tcW w:type="dxa" w:w="3742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Critère de sortie</w:t>
            </w:r>
          </w:p>
        </w:tc>
        <w:tc>
          <w:tcPr>
            <w:tcW w:type="dxa" w:w="164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KPI</w:t>
            </w:r>
          </w:p>
        </w:tc>
      </w:tr>
      <w:tr>
        <w:trPr>
          <w:cantSplit/>
        </w:trPr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Compte cible</w:t>
            </w:r>
          </w:p>
        </w:tc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Organisation pertinente.</w:t>
            </w:r>
          </w:p>
        </w:tc>
        <w:tc>
          <w:tcPr>
            <w:tcW w:type="dxa" w:w="374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Propriétaire et cas d’usage identifiés.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Comptes qualifiés.</w:t>
            </w:r>
          </w:p>
        </w:tc>
      </w:tr>
      <w:tr>
        <w:trPr>
          <w:cantSplit/>
        </w:trPr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Découverte</w:t>
            </w:r>
          </w:p>
        </w:tc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Premier échange.</w:t>
            </w:r>
          </w:p>
        </w:tc>
        <w:tc>
          <w:tcPr>
            <w:tcW w:type="dxa" w:w="374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Douleur, processus actuel, volume et coût décrits.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Taux de découverte.</w:t>
            </w:r>
          </w:p>
        </w:tc>
      </w:tr>
      <w:tr>
        <w:trPr>
          <w:cantSplit/>
        </w:trPr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Qualification</w:t>
            </w:r>
          </w:p>
        </w:tc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Besoin réel.</w:t>
            </w:r>
          </w:p>
        </w:tc>
        <w:tc>
          <w:tcPr>
            <w:tcW w:type="dxa" w:w="374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Budget, décision, calendrier et données admissibles.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Opportunités qualifiées.</w:t>
            </w:r>
          </w:p>
        </w:tc>
      </w:tr>
      <w:tr>
        <w:trPr>
          <w:cantSplit/>
        </w:trPr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Démonstration</w:t>
            </w:r>
          </w:p>
        </w:tc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Cas préparé.</w:t>
            </w:r>
          </w:p>
        </w:tc>
        <w:tc>
          <w:tcPr>
            <w:tcW w:type="dxa" w:w="374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Retours sur champs, preuve et accès.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Démos utiles.</w:t>
            </w:r>
          </w:p>
        </w:tc>
      </w:tr>
      <w:tr>
        <w:trPr>
          <w:cantSplit/>
        </w:trPr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Proposition</w:t>
            </w:r>
          </w:p>
        </w:tc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Pilote défini.</w:t>
            </w:r>
          </w:p>
        </w:tc>
        <w:tc>
          <w:tcPr>
            <w:tcW w:type="dxa" w:w="374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Scope, prix, responsabilités et succès écrits.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Propositions envoyées.</w:t>
            </w:r>
          </w:p>
        </w:tc>
      </w:tr>
      <w:tr>
        <w:trPr>
          <w:cantSplit/>
        </w:trPr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Engagement</w:t>
            </w:r>
          </w:p>
        </w:tc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Accord.</w:t>
            </w:r>
          </w:p>
        </w:tc>
        <w:tc>
          <w:tcPr>
            <w:tcW w:type="dxa" w:w="374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Signature, acompte, bon de commande ou LOI détaillée.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Preuves commerciales fortes.</w:t>
            </w:r>
          </w:p>
        </w:tc>
      </w:tr>
      <w:tr>
        <w:trPr>
          <w:cantSplit/>
        </w:trPr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Usage</w:t>
            </w:r>
          </w:p>
        </w:tc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Accès ouvert.</w:t>
            </w:r>
          </w:p>
        </w:tc>
        <w:tc>
          <w:tcPr>
            <w:tcW w:type="dxa" w:w="374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Consultations et décisions documentées.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Activation et rétention.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8. Canaux prioritaires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181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Canal</w:t>
            </w:r>
          </w:p>
        </w:tc>
        <w:tc>
          <w:tcPr>
            <w:tcW w:type="dxa" w:w="283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Rôle</w:t>
            </w:r>
          </w:p>
        </w:tc>
        <w:tc>
          <w:tcPr>
            <w:tcW w:type="dxa" w:w="311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Règle de qualité</w:t>
            </w:r>
          </w:p>
        </w:tc>
        <w:tc>
          <w:tcPr>
            <w:tcW w:type="dxa" w:w="158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Budget pilote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Approche directe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Entretiens avec décideurs et opérateurs.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Recherche du cas d’usage avant présentation.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Temps fondateur / partenariats.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Introductions qualifiées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Accès par réseau, incubateur, association ou expert.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Contexte écrit et objectif précis.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Faible coût direct.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Ateliers ciblés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Tester compréhension et critères avec 6-10 personnes.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Pas d’événement généraliste sans objectif de décision.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Salle légère et supports.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Terrain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Comprendre les marchands et produire les dossiers.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Consentement, sécurité et séparation de la vente.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Inclus budget pilote.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WhatsApp professionnel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Confirmation, rappel et partage de documents non sensibles.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Compte approuvé et pas de dossier brut.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Données et téléphone.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Contenu de preuve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Cas anonymisé, méthode, résultats et limites.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Aucune donnée personnelle sans base et autorisation.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Design / rédaction.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Relations institutionnelles</w:t>
            </w:r>
          </w:p>
        </w:tc>
        <w:tc>
          <w:tcPr>
            <w:tcW w:type="dxa" w:w="283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Comprendre procédures et opportunités.</w:t>
            </w:r>
          </w:p>
        </w:tc>
        <w:tc>
          <w:tcPr>
            <w:tcW w:type="dxa" w:w="311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Mandats et contacts vérifiés avant approche.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Déplacements ciblés.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9. Plan éditorial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181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Format</w:t>
            </w:r>
          </w:p>
        </w:tc>
        <w:tc>
          <w:tcPr>
            <w:tcW w:type="dxa" w:w="351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Sujet</w:t>
            </w:r>
          </w:p>
        </w:tc>
        <w:tc>
          <w:tcPr>
            <w:tcW w:type="dxa" w:w="192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Public</w:t>
            </w:r>
          </w:p>
        </w:tc>
        <w:tc>
          <w:tcPr>
            <w:tcW w:type="dxa" w:w="209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Preuve / limite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Note 1 page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Pourquoi la preuve d’activité est distincte du scoring.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Partenaires.</w:t>
            </w:r>
          </w:p>
        </w:tc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Positionnement et exclusions.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Dossier exemple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Un passeport anonymisé et ses niveaux de preuve.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Décideurs et opérateurs.</w:t>
            </w:r>
          </w:p>
        </w:tc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Données fictives clairement marquées.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Fiche méthode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Du consentement à la vue partenaire.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Données / juridique.</w:t>
            </w:r>
          </w:p>
        </w:tc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Contrôles et responsabilités.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Cas pilote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Temps, coût, reprises et décision facilitée.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Financeurs et clients.</w:t>
            </w:r>
          </w:p>
        </w:tc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Résultats réels seulement.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FAQ marchand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Choix, retrait et absence de promesse.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Terrain.</w:t>
            </w:r>
          </w:p>
        </w:tc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Langage simple testé.</w:t>
            </w:r>
          </w:p>
        </w:tc>
      </w:tr>
      <w:tr>
        <w:trPr>
          <w:cantSplit/>
        </w:trPr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Mémo risque</w:t>
            </w:r>
          </w:p>
        </w:tc>
        <w:tc>
          <w:tcPr>
            <w:tcW w:type="dxa" w:w="351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Ce que Dëggal ne collecte pas.</w:t>
            </w:r>
          </w:p>
        </w:tc>
        <w:tc>
          <w:tcPr>
            <w:tcW w:type="dxa" w:w="192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Partenaires.</w:t>
            </w:r>
          </w:p>
        </w:tc>
        <w:tc>
          <w:tcPr>
            <w:tcW w:type="dxa" w:w="209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Données interdites et sécurité.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10. Plan d’action sur 30 jours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141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Période</w:t>
            </w:r>
          </w:p>
        </w:tc>
        <w:tc>
          <w:tcPr>
            <w:tcW w:type="dxa" w:w="317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Marketing / partenariats</w:t>
            </w:r>
          </w:p>
        </w:tc>
        <w:tc>
          <w:tcPr>
            <w:tcW w:type="dxa" w:w="317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Terrain / produit</w:t>
            </w:r>
          </w:p>
        </w:tc>
        <w:tc>
          <w:tcPr>
            <w:tcW w:type="dxa" w:w="1587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4"/>
              </w:rPr>
              <w:t>Décision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J-14 à J-8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Liste 30 comptes, 10 introductions, scripts et dossiers exemples.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Test compréhension, formulaires et QA.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Segments et messages approuvés.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J-7 à J0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8-10 entretiens, 3 cas d’usage, invitations pilote.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Test de capacité sur petit échantillon.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Go / no-go.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J1-J7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Découvertes, démos et premiers retours prix.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70 dossiers visés avec revue quotidienne.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Corriger messages et champs.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J8-J14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Propositions pilotes et relances ciblées.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Atteindre 150 dossiers, tester reprises.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Retenir deux offres.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J15-J21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Négociation, test d’accès partenaire et preuve de valeur.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200 profils partageables visés.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Revoir prix et SLA.</w:t>
            </w:r>
          </w:p>
        </w:tc>
      </w:tr>
      <w:tr>
        <w:trPr>
          <w:cantSplit/>
        </w:trPr>
        <w:tc>
          <w:tcPr>
            <w:tcW w:type="dxa" w:w="141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J22-J30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Chercher contrat, commande, acompte ou LOI détaillée.</w:t>
            </w:r>
          </w:p>
        </w:tc>
        <w:tc>
          <w:tcPr>
            <w:tcW w:type="dxa" w:w="317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Rapport final, coûts et incidents.</w:t>
            </w:r>
          </w:p>
        </w:tc>
        <w:tc>
          <w:tcPr>
            <w:tcW w:type="dxa" w:w="1587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4"/>
              </w:rPr>
              <w:t>Arrêter, prolonger ou industrialiser.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11. Plan 31-90 jours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153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Horizon</w:t>
            </w:r>
          </w:p>
        </w:tc>
        <w:tc>
          <w:tcPr>
            <w:tcW w:type="dxa" w:w="300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Priorité</w:t>
            </w:r>
          </w:p>
        </w:tc>
        <w:tc>
          <w:tcPr>
            <w:tcW w:type="dxa" w:w="300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Livrable</w:t>
            </w:r>
          </w:p>
        </w:tc>
        <w:tc>
          <w:tcPr>
            <w:tcW w:type="dxa" w:w="181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Gate</w:t>
            </w:r>
          </w:p>
        </w:tc>
      </w:tr>
      <w:tr>
        <w:trPr>
          <w:cantSplit/>
        </w:trPr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J31-J45</w:t>
            </w:r>
          </w:p>
        </w:tc>
        <w:tc>
          <w:tcPr>
            <w:tcW w:type="dxa" w:w="300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Transformer les apprentissages en offre standard.</w:t>
            </w:r>
          </w:p>
        </w:tc>
        <w:tc>
          <w:tcPr>
            <w:tcW w:type="dxa" w:w="300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Tarification, SLA, cas client contrôlé.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Au moins un engagement commercial.</w:t>
            </w:r>
          </w:p>
        </w:tc>
      </w:tr>
      <w:tr>
        <w:trPr>
          <w:cantSplit/>
        </w:trPr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J46-J60</w:t>
            </w:r>
          </w:p>
        </w:tc>
        <w:tc>
          <w:tcPr>
            <w:tcW w:type="dxa" w:w="300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Livrer un pilote partenaire limité.</w:t>
            </w:r>
          </w:p>
        </w:tc>
        <w:tc>
          <w:tcPr>
            <w:tcW w:type="dxa" w:w="300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Rapport d’usage, qualité et valeur.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Usage démontré et incidents maîtrisés.</w:t>
            </w:r>
          </w:p>
        </w:tc>
      </w:tr>
      <w:tr>
        <w:trPr>
          <w:cantSplit/>
        </w:trPr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J61-J75</w:t>
            </w:r>
          </w:p>
        </w:tc>
        <w:tc>
          <w:tcPr>
            <w:tcW w:type="dxa" w:w="300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Construire un pipeline répétable.</w:t>
            </w:r>
          </w:p>
        </w:tc>
        <w:tc>
          <w:tcPr>
            <w:tcW w:type="dxa" w:w="300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10 opportunités qualifiées et cycle mesuré.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Taux de conversion plausible.</w:t>
            </w:r>
          </w:p>
        </w:tc>
      </w:tr>
      <w:tr>
        <w:trPr>
          <w:cantSplit/>
        </w:trPr>
        <w:tc>
          <w:tcPr>
            <w:tcW w:type="dxa" w:w="153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J76-J90</w:t>
            </w:r>
          </w:p>
        </w:tc>
        <w:tc>
          <w:tcPr>
            <w:tcW w:type="dxa" w:w="300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Décider du produit et du financement.</w:t>
            </w:r>
          </w:p>
        </w:tc>
        <w:tc>
          <w:tcPr>
            <w:tcW w:type="dxa" w:w="300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Roadmap, modèle révisé et plan de recrutement.</w:t>
            </w:r>
          </w:p>
        </w:tc>
        <w:tc>
          <w:tcPr>
            <w:tcW w:type="dxa" w:w="181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Unit economics et runway validés.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12. Scripts de prospection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cantSplit/>
        </w:trPr>
        <w:tc>
          <w:tcPr>
            <w:tcW w:type="dxa" w:w="141"/>
            <w:shd w:fill="0B5947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type="dxa" w:w="9072"/>
            <w:shd w:fill="EAF3EF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allouttitle"/>
            </w:pPr>
            <w:r>
              <w:t>Message d’introduction</w:t>
            </w:r>
          </w:p>
          <w:p>
            <w:pPr>
              <w:pStyle w:val="Callouttext"/>
            </w:pPr>
            <w:r>
              <w:t>Bonjour [Nom]. Dëggal teste une méthode assistée pour organiser, avec consentement, des preuves simples d’activité de petits opérateurs. Nous cherchons à comprendre comment votre équipe qualifie actuellement ces dossiers, le temps consacré et les informations réellement utiles. Seriez-vous disponible pour un entretien de 30 minutes? Il ne s’agit pas d’une offre de crédit ni d’une vente de données.</w:t>
            </w:r>
          </w:p>
        </w:tc>
      </w:tr>
    </w:tbl>
    <w:p>
      <w:pPr>
        <w:spacing w:after="20" w:before="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76"/>
        <w:gridCol w:w="4776"/>
      </w:tblGrid>
      <w:tr>
        <w:trPr>
          <w:cantSplit/>
        </w:trPr>
        <w:tc>
          <w:tcPr>
            <w:tcW w:type="dxa" w:w="141"/>
            <w:shd w:fill="D4A936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type="dxa" w:w="9072"/>
            <w:shd w:fill="FBF4DA"/>
            <w:tcMar>
              <w:top w:w="110" w:type="dxa"/>
              <w:start w:w="130" w:type="dxa"/>
              <w:bottom w:w="110" w:type="dxa"/>
              <w:end w:w="13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allouttitle"/>
            </w:pPr>
            <w:r>
              <w:t>Relance après découverte</w:t>
            </w:r>
          </w:p>
          <w:p>
            <w:pPr>
              <w:pStyle w:val="Callouttext"/>
            </w:pPr>
            <w:r>
              <w:t>Merci pour l’échange. Nous retenons trois points: [douleur], [volume] et [critère]. Nous proposons un test limité à [scope] avec [vue], [durée], [prix] et [critères de succès]. Les données resteraient filtrées, tracées et liées à une finalité approuvée.</w:t>
            </w:r>
          </w:p>
        </w:tc>
      </w:tr>
    </w:tbl>
    <w:p>
      <w:pPr>
        <w:spacing w:after="20" w:before="0"/>
      </w:pPr>
    </w:p>
    <w:p>
      <w:pPr>
        <w:pStyle w:val="Heading1"/>
        <w:keepNext/>
        <w:pageBreakBefore w:val="0"/>
      </w:pPr>
      <w:r>
        <w:t>13. Objections et réponses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232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Objection</w:t>
            </w:r>
          </w:p>
        </w:tc>
        <w:tc>
          <w:tcPr>
            <w:tcW w:type="dxa" w:w="4762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Réponse</w:t>
            </w:r>
          </w:p>
        </w:tc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Preuve requise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Nous avons déjà un formulaire. »</w:t>
            </w:r>
          </w:p>
        </w:tc>
        <w:tc>
          <w:tcPr>
            <w:tcW w:type="dxa" w:w="476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Dëggal teste la qualité, l’assistance, la vérification et le contrôle du partage - pas seulement la saisie.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Comparer reprise, délai et actualisation.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Vos dossiers sont-ils certifiés? »</w:t>
            </w:r>
          </w:p>
        </w:tc>
        <w:tc>
          <w:tcPr>
            <w:tcW w:type="dxa" w:w="476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Chaque élément indique sa source et son niveau. Dëggal n’efface pas l’incertitude.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Méthode et QA.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Donnez-nous tout le fichier. »</w:t>
            </w:r>
          </w:p>
        </w:tc>
        <w:tc>
          <w:tcPr>
            <w:tcW w:type="dxa" w:w="476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L’accès est limité à la finalité, aux champs autorisés et à une durée.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Vue partenaire et clause.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Cela garantit-il un bon emprunteur? »</w:t>
            </w:r>
          </w:p>
        </w:tc>
        <w:tc>
          <w:tcPr>
            <w:tcW w:type="dxa" w:w="476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Non. Dëggal ne produit pas de score de crédit et ne décide pas.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Exclusions écrites.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Pourquoi payer? »</w:t>
            </w:r>
          </w:p>
        </w:tc>
        <w:tc>
          <w:tcPr>
            <w:tcW w:type="dxa" w:w="476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Le test mesure le temps économisé, les visites évitées et la qualité améliorée.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Baseline et résultats.</w:t>
            </w:r>
          </w:p>
        </w:tc>
      </w:tr>
      <w:tr>
        <w:trPr>
          <w:cantSplit/>
        </w:trPr>
        <w:tc>
          <w:tcPr>
            <w:tcW w:type="dxa" w:w="232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« Les marchands accepteront-ils? »</w:t>
            </w:r>
          </w:p>
        </w:tc>
        <w:tc>
          <w:tcPr>
            <w:tcW w:type="dxa" w:w="476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Le pilote mesure compréhension, refus, retrait et confiance.</w:t>
            </w:r>
          </w:p>
        </w:tc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Journal de consentement.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14. Budget marketing pilote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84"/>
        <w:gridCol w:w="3184"/>
        <w:gridCol w:w="3184"/>
      </w:tblGrid>
      <w:tr>
        <w:trPr>
          <w:tblHeader w:val="true"/>
        </w:trPr>
        <w:tc>
          <w:tcPr>
            <w:tcW w:type="dxa" w:w="2041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Poste</w:t>
            </w:r>
          </w:p>
        </w:tc>
        <w:tc>
          <w:tcPr>
            <w:tcW w:type="dxa" w:w="3969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Traitement</w:t>
            </w:r>
          </w:p>
        </w:tc>
        <w:tc>
          <w:tcPr>
            <w:tcW w:type="dxa" w:w="3345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6"/>
              </w:rPr>
              <w:t>Règle</w:t>
            </w:r>
          </w:p>
        </w:tc>
      </w:tr>
      <w:tr>
        <w:trPr>
          <w:cantSplit/>
        </w:trPr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Prospection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Temps de direction et partenariats.</w:t>
            </w:r>
          </w:p>
        </w:tc>
        <w:tc>
          <w:tcPr>
            <w:tcW w:type="dxa" w:w="334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Valoriser le temps complet dans le modèle 36 mois.</w:t>
            </w:r>
          </w:p>
        </w:tc>
      </w:tr>
      <w:tr>
        <w:trPr>
          <w:cantSplit/>
        </w:trPr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Supports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One-pager, dossier exemple, présentation et FAQ.</w:t>
            </w:r>
          </w:p>
        </w:tc>
        <w:tc>
          <w:tcPr>
            <w:tcW w:type="dxa" w:w="334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Versionner et contrôler les promesses.</w:t>
            </w:r>
          </w:p>
        </w:tc>
      </w:tr>
      <w:tr>
        <w:trPr>
          <w:cantSplit/>
        </w:trPr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Ateliers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Petites sessions orientées recherche et décision.</w:t>
            </w:r>
          </w:p>
        </w:tc>
        <w:tc>
          <w:tcPr>
            <w:tcW w:type="dxa" w:w="334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Budget seulement si participants cibles confirmés.</w:t>
            </w:r>
          </w:p>
        </w:tc>
      </w:tr>
      <w:tr>
        <w:trPr>
          <w:cantSplit/>
        </w:trPr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Déplacements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Rendez-vous et terrain ciblés.</w:t>
            </w:r>
          </w:p>
        </w:tc>
        <w:tc>
          <w:tcPr>
            <w:tcW w:type="dxa" w:w="334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Regrouper par zone et documenter.</w:t>
            </w:r>
          </w:p>
        </w:tc>
      </w:tr>
      <w:tr>
        <w:trPr>
          <w:cantSplit/>
        </w:trPr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Digital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Présence minimale crédible et formulaire de contact.</w:t>
            </w:r>
          </w:p>
        </w:tc>
        <w:tc>
          <w:tcPr>
            <w:tcW w:type="dxa" w:w="3345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Pas d’acquisition payante avant message validé.</w:t>
            </w:r>
          </w:p>
        </w:tc>
      </w:tr>
      <w:tr>
        <w:trPr>
          <w:cantSplit/>
        </w:trPr>
        <w:tc>
          <w:tcPr>
            <w:tcW w:type="dxa" w:w="2041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Relations publiques</w:t>
            </w:r>
          </w:p>
        </w:tc>
        <w:tc>
          <w:tcPr>
            <w:tcW w:type="dxa" w:w="3969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Après preuve pilote.</w:t>
            </w:r>
          </w:p>
        </w:tc>
        <w:tc>
          <w:tcPr>
            <w:tcW w:type="dxa" w:w="3345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6"/>
              </w:rPr>
              <w:t>Ne pas annoncer de résultats non vérifiés.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15. Tableau de bord marketing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88"/>
        <w:gridCol w:w="2388"/>
        <w:gridCol w:w="2388"/>
        <w:gridCol w:w="2388"/>
      </w:tblGrid>
      <w:tr>
        <w:trPr>
          <w:tblHeader w:val="true"/>
        </w:trPr>
        <w:tc>
          <w:tcPr>
            <w:tcW w:type="dxa" w:w="2268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KPI</w:t>
            </w:r>
          </w:p>
        </w:tc>
        <w:tc>
          <w:tcPr>
            <w:tcW w:type="dxa" w:w="4082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Définition</w:t>
            </w:r>
          </w:p>
        </w:tc>
        <w:tc>
          <w:tcPr>
            <w:tcW w:type="dxa" w:w="1360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Fréquence</w:t>
            </w:r>
          </w:p>
        </w:tc>
        <w:tc>
          <w:tcPr>
            <w:tcW w:type="dxa" w:w="1644"/>
            <w:shd w:fill="0B5947"/>
            <w:tcMar>
              <w:top w:w="100" w:type="dxa"/>
              <w:start w:w="100" w:type="dxa"/>
              <w:bottom w:w="100" w:type="dxa"/>
              <w:end w:w="100" w:type="dxa"/>
            </w:tcMar>
            <w:tcBorders>
              <w:top w:val="single" w:sz="4" w:color="0B5947"/>
              <w:left w:val="single" w:sz="4" w:color="0B5947"/>
              <w:bottom w:val="single" w:sz="4" w:color="0B5947"/>
              <w:right w:val="single" w:sz="4" w:color="0B5947"/>
            </w:tcBorders>
          </w:tcPr>
          <w:p>
            <w:pPr>
              <w:pStyle w:val="Tabletext"/>
              <w:jc w:val="left"/>
            </w:pPr>
            <w:r>
              <w:rPr>
                <w:b/>
                <w:color w:val="FFFFFF"/>
                <w:sz w:val="15"/>
              </w:rPr>
              <w:t>Décision associée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Comptes qualifiés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Cas, propriétaire, volume, calendrier et budget compris.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Hebdomadaire.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Concentration ou expansion.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Taux découverte → proposition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Propositions / découvertes utiles.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Hebdomadaire.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Message et qualification.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Taux proposition → engagement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Engagements forts / propositions.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Mensuel.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Offre et prix.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Cycle de vente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Jours entre premier échange et engagement.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Mensuel.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Runway et segment.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Valeur du pipeline pondéré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Montant x probabilité fondée sur une étape.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Hebdomadaire.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Priorité commerciale.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Coût d’acquisition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Coûts commerciaux complets / nouveaux partenaires.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Mensuel.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Canaux.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Activation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Partenaires ayant utilisé un dossier dans le délai.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Hebdomadaire.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FFFFF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Onboarding.</w:t>
            </w:r>
          </w:p>
        </w:tc>
      </w:tr>
      <w:tr>
        <w:trPr>
          <w:cantSplit/>
        </w:trPr>
        <w:tc>
          <w:tcPr>
            <w:tcW w:type="dxa" w:w="2268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Rétention</w:t>
            </w:r>
          </w:p>
        </w:tc>
        <w:tc>
          <w:tcPr>
            <w:tcW w:type="dxa" w:w="4082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Partenaires actifs ou renouvelés.</w:t>
            </w:r>
          </w:p>
        </w:tc>
        <w:tc>
          <w:tcPr>
            <w:tcW w:type="dxa" w:w="1360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Mensuel.</w:t>
            </w:r>
          </w:p>
        </w:tc>
        <w:tc>
          <w:tcPr>
            <w:tcW w:type="dxa" w:w="1644"/>
            <w:tcMar>
              <w:top w:w="85" w:type="dxa"/>
              <w:start w:w="95" w:type="dxa"/>
              <w:bottom w:w="85" w:type="dxa"/>
              <w:end w:w="95" w:type="dxa"/>
            </w:tcMar>
            <w:shd w:fill="F2F4F3"/>
            <w:tcBorders>
              <w:left w:val="single" w:sz="2" w:color="EDF0EF"/>
              <w:bottom w:val="single" w:sz="3" w:color="DDE3E0"/>
              <w:right w:val="single" w:sz="2" w:color="EDF0EF"/>
            </w:tcBorders>
          </w:tcPr>
          <w:p>
            <w:pPr>
              <w:pStyle w:val="Tabletext"/>
            </w:pPr>
            <w:r>
              <w:rPr>
                <w:sz w:val="15"/>
              </w:rPr>
              <w:t>Valeur réelle.</w:t>
            </w:r>
          </w:p>
        </w:tc>
      </w:tr>
    </w:tbl>
    <w:p>
      <w:pPr>
        <w:spacing w:after="40"/>
      </w:pPr>
    </w:p>
    <w:p>
      <w:pPr>
        <w:pStyle w:val="Heading1"/>
        <w:keepNext/>
        <w:pageBreakBefore w:val="0"/>
      </w:pPr>
      <w:r>
        <w:t>16. Sources et limites</w:t>
      </w:r>
    </w:p>
    <w:p>
      <w:pPr>
        <w:pStyle w:val="Sourcenote"/>
      </w:pPr>
      <w:r>
        <w:t>Pack Dëggal reconstruit, version du 12 juillet 2026 - source interne. OIT - économie informelle: https://www.ilo.org/topics-and-sectors/informal-economy Banque mondiale - Global Findex 2021: https://www.worldbank.org/en/publication/globalfindex GSMA - State of the Industry Report on Mobile Money: https://www.gsma.com/sotir/ BCEAO - publications sur l’inclusion financière dans l’UEMOA: https://www.bceao.int/</w:t>
      </w:r>
    </w:p>
    <w:p>
      <w:r>
        <w:t>Les organisations candidates, contacts, budgets et cycles d’achat doivent être vérifiés avant prospection. Aucun intérêt commercial ni mandat n’est présumé dans ce document.</w:t>
      </w:r>
    </w:p>
    <w:sectPr w:rsidR="00FC693F" w:rsidRPr="0006063C" w:rsidSect="00034616">
      <w:headerReference w:type="default" r:id="rId10"/>
      <w:footerReference w:type="default" r:id="rId11"/>
      <w:pgSz w:w="11906" w:h="16838"/>
      <w:pgMar w:top="1134" w:right="1134" w:bottom="1020" w:left="1219" w:header="397" w:footer="369" w:gutter="0"/>
      <w:cols w:space="720"/>
      <w:titlePg/>
      <w:docGrid w:linePitch="36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184"/>
      <w:gridCol w:w="3184"/>
      <w:gridCol w:w="3184"/>
    </w:tblGrid>
    <w:tr>
      <w:tc>
        <w:tcPr>
          <w:tcW w:type="dxa" w:w="2551"/>
          <w:tcBorders>
            <w:top w:val="single" w:sz="4" w:color="D6DEDA"/>
          </w:tcBorders>
        </w:tcPr>
        <w:p>
          <w:pPr>
            <w:spacing w:before="40" w:after="0"/>
            <w:jc w:val="left"/>
          </w:pPr>
          <w:r>
            <w:rPr>
              <w:color w:val="6D7471"/>
              <w:sz w:val="14"/>
            </w:rPr>
            <w:t>Confidentiel - diffusion contrôlée</w:t>
          </w:r>
        </w:p>
      </w:tc>
      <w:tc>
        <w:tcPr>
          <w:tcW w:type="dxa" w:w="4450"/>
          <w:tcBorders>
            <w:top w:val="single" w:sz="4" w:color="D6DEDA"/>
          </w:tcBorders>
        </w:tcPr>
        <w:p>
          <w:pPr>
            <w:spacing w:before="40" w:after="0"/>
            <w:jc w:val="center"/>
          </w:pPr>
          <w:r>
            <w:rPr>
              <w:color w:val="6D7471"/>
              <w:sz w:val="14"/>
            </w:rPr>
            <w:t>12 juillet 2026</w:t>
          </w:r>
        </w:p>
      </w:tc>
      <w:tc>
        <w:tcPr>
          <w:tcW w:type="dxa" w:w="2551"/>
          <w:tcBorders>
            <w:top w:val="single" w:sz="4" w:color="D6DEDA"/>
          </w:tcBorders>
        </w:tcPr>
        <w:p>
          <w:pPr>
            <w:spacing w:before="40" w:after="0"/>
            <w:jc w:val="center"/>
          </w:pPr>
          <w:r>
            <w:rPr>
              <w:color w:val="6D7471"/>
              <w:sz w:val="14"/>
            </w:rPr>
            <w:t xml:space="preserve">Page </w:t>
          </w:r>
        </w:p>
      </w:tc>
    </w:tr>
  </w:tbl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tblLayout w:type="fixed"/>
      <w:tblLook w:firstColumn="1" w:firstRow="1" w:lastColumn="0" w:lastRow="0" w:noHBand="0" w:noVBand="1" w:val="04A0"/>
    </w:tblPr>
    <w:tblGrid>
      <w:gridCol w:w="3184"/>
      <w:gridCol w:w="3184"/>
      <w:gridCol w:w="3184"/>
    </w:tblGrid>
    <w:tr>
      <w:tc>
        <w:tcPr>
          <w:tcW w:type="dxa" w:w="2551"/>
          <w:tcBorders>
            <w:bottom w:val="single" w:sz="8" w:color="D4A936"/>
          </w:tcBorders>
        </w:tcPr>
        <w:p>
          <w:pPr>
            <w:spacing w:after="40"/>
            <w:jc w:val="left"/>
          </w:pPr>
          <w:r>
            <w:rPr>
              <w:rFonts w:ascii="Carlito" w:hAnsi="Carlito"/>
              <w:b/>
              <w:color w:val="0B5947"/>
              <w:sz w:val="15"/>
            </w:rPr>
            <w:t>DËGGAL</w:t>
          </w:r>
        </w:p>
      </w:tc>
      <w:tc>
        <w:tcPr>
          <w:tcW w:type="dxa" w:w="4450"/>
          <w:tcBorders>
            <w:bottom w:val="single" w:sz="8" w:color="D4A936"/>
          </w:tcBorders>
        </w:tcPr>
        <w:p>
          <w:pPr>
            <w:spacing w:after="40"/>
            <w:jc w:val="center"/>
          </w:pPr>
          <w:r>
            <w:rPr>
              <w:rFonts w:ascii="Carlito" w:hAnsi="Carlito"/>
              <w:b w:val="0"/>
              <w:color w:val="6D7471"/>
              <w:sz w:val="15"/>
            </w:rPr>
            <w:t>Plan marketing et lancement</w:t>
          </w:r>
        </w:p>
      </w:tc>
      <w:tc>
        <w:tcPr>
          <w:tcW w:type="dxa" w:w="2551"/>
          <w:tcBorders>
            <w:bottom w:val="single" w:sz="8" w:color="D4A936"/>
          </w:tcBorders>
        </w:tcPr>
        <w:p>
          <w:pPr>
            <w:spacing w:after="40"/>
            <w:jc w:val="right"/>
          </w:pPr>
          <w:r>
            <w:rPr>
              <w:rFonts w:ascii="Carlito" w:hAnsi="Carlito"/>
              <w:b w:val="0"/>
              <w:color w:val="6D7471"/>
              <w:sz w:val="15"/>
            </w:rPr>
            <w:t>Édition consolidée</w:t>
          </w:r>
        </w:p>
      </w:tc>
    </w:tr>
  </w:tbl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10" w:line="271" w:lineRule="auto"/>
    </w:pPr>
    <w:rPr>
      <w:rFonts w:ascii="Carlito" w:hAnsi="Carlito"/>
      <w:color w:val="1F2A26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40"/>
      <w:outlineLvl w:val="0"/>
    </w:pPr>
    <w:rPr>
      <w:rFonts w:asciiTheme="majorHAnsi" w:eastAsiaTheme="majorEastAsia" w:hAnsiTheme="majorHAnsi" w:cstheme="majorBidi" w:ascii="Cabin" w:hAnsi="Cabin"/>
      <w:b/>
      <w:bCs/>
      <w:color w:val="0B5947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00"/>
      <w:outlineLvl w:val="1"/>
    </w:pPr>
    <w:rPr>
      <w:rFonts w:asciiTheme="majorHAnsi" w:eastAsiaTheme="majorEastAsia" w:hAnsiTheme="majorHAnsi" w:cstheme="majorBidi" w:ascii="Cabin" w:hAnsi="Cabin"/>
      <w:b/>
      <w:bCs/>
      <w:color w:val="C97B4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60"/>
      <w:outlineLvl w:val="2"/>
    </w:pPr>
    <w:rPr>
      <w:rFonts w:asciiTheme="majorHAnsi" w:eastAsiaTheme="majorEastAsia" w:hAnsiTheme="majorHAnsi" w:cstheme="majorBidi" w:ascii="Cabin" w:hAnsi="Cabin"/>
      <w:b/>
      <w:bCs/>
      <w:color w:val="443A78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200" w:line="240" w:lineRule="auto" w:before="0"/>
      <w:contextualSpacing/>
    </w:pPr>
    <w:rPr>
      <w:rFonts w:asciiTheme="majorHAnsi" w:eastAsiaTheme="majorEastAsia" w:hAnsiTheme="majorHAnsi" w:cstheme="majorBidi" w:ascii="Cabin" w:hAnsi="Cabin"/>
      <w:b/>
      <w:color w:val="0B5947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160"/>
    </w:pPr>
    <w:rPr>
      <w:rFonts w:asciiTheme="majorHAnsi" w:eastAsiaTheme="majorEastAsia" w:hAnsiTheme="majorHAnsi" w:cstheme="majorBidi" w:ascii="Cabin" w:hAnsi="Cabin"/>
      <w:b w:val="0"/>
      <w:i/>
      <w:iCs/>
      <w:color w:val="6D7471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Carlito" w:hAnsi="Carlito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Carlito" w:hAnsi="Carlito"/>
      <w:sz w:val="2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after="40"/>
    </w:pPr>
    <w:rPr>
      <w:rFonts w:ascii="Carlito" w:hAnsi="Carlito"/>
      <w:color w:val="6D7471"/>
      <w:sz w:val="16"/>
    </w:rPr>
  </w:style>
  <w:style w:type="paragraph" w:customStyle="1" w:styleId="Sourcenote">
    <w:name w:val="Source note"/>
    <w:pPr>
      <w:spacing w:before="40" w:after="80"/>
    </w:pPr>
    <w:rPr>
      <w:rFonts w:ascii="Carlito" w:hAnsi="Carlito"/>
      <w:i/>
      <w:color w:val="6D7471"/>
      <w:sz w:val="15"/>
    </w:rPr>
  </w:style>
  <w:style w:type="paragraph" w:customStyle="1" w:styleId="Tabletext">
    <w:name w:val="Table text"/>
    <w:pPr>
      <w:spacing w:after="0" w:line="240" w:lineRule="auto"/>
    </w:pPr>
    <w:rPr>
      <w:rFonts w:ascii="Carlito" w:hAnsi="Carlito"/>
      <w:color w:val="1F2A26"/>
      <w:sz w:val="17"/>
    </w:rPr>
  </w:style>
  <w:style w:type="paragraph" w:customStyle="1" w:styleId="KPIlabel">
    <w:name w:val="KPI label"/>
    <w:pPr>
      <w:spacing w:after="0"/>
    </w:pPr>
    <w:rPr>
      <w:rFonts w:ascii="Carlito" w:hAnsi="Carlito"/>
      <w:b/>
      <w:color w:val="6D7471"/>
      <w:sz w:val="15"/>
    </w:rPr>
  </w:style>
  <w:style w:type="paragraph" w:customStyle="1" w:styleId="KPIvalue">
    <w:name w:val="KPI value"/>
    <w:pPr>
      <w:spacing w:after="20"/>
    </w:pPr>
    <w:rPr>
      <w:rFonts w:ascii="Cabin" w:hAnsi="Cabin"/>
      <w:b/>
      <w:color w:val="0B5947"/>
      <w:sz w:val="32"/>
    </w:rPr>
  </w:style>
  <w:style w:type="paragraph" w:customStyle="1" w:styleId="Callouttitle">
    <w:name w:val="Callout title"/>
    <w:pPr>
      <w:spacing w:after="40"/>
    </w:pPr>
    <w:rPr>
      <w:rFonts w:ascii="Cabin" w:hAnsi="Cabin"/>
      <w:b/>
      <w:color w:val="143B31"/>
      <w:sz w:val="20"/>
    </w:rPr>
  </w:style>
  <w:style w:type="paragraph" w:customStyle="1" w:styleId="Callouttext">
    <w:name w:val="Callout text"/>
    <w:pPr>
      <w:spacing w:after="20"/>
    </w:pPr>
    <w:rPr>
      <w:rFonts w:ascii="Carlito" w:hAnsi="Carlito"/>
      <w:color w:val="1F2A26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