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300"/>
        <w:jc w:val="center"/>
      </w:pPr>
      <w:r>
        <w:rPr>
          <w:rFonts w:ascii="Cabin" w:hAnsi="Cabin"/>
          <w:b/>
          <w:color w:val="0B5947"/>
          <w:sz w:val="24"/>
        </w:rPr>
        <w:t>DËGGAL</w:t>
      </w:r>
    </w:p>
    <w:p>
      <w:pPr>
        <w:spacing w:after="240"/>
        <w:jc w:val="center"/>
      </w:pPr>
      <w:r>
        <w:rPr>
          <w:sz w:val="15"/>
        </w:rPr>
        <w:t>INFRASTRUCTURE DE PREUVE POUR LES ACTIVITÉS ÉCONOMIQUES INFORMELLES</w:t>
      </w:r>
    </w:p>
    <w:p>
      <w:pPr>
        <w:jc w:val="center"/>
      </w:pPr>
      <w:r/>
    </w:p>
    <w:p>
      <w:pPr>
        <w:spacing w:before="160" w:after="60"/>
        <w:jc w:val="center"/>
      </w:pPr>
      <w:r>
        <w:rPr>
          <w:rFonts w:ascii="Cabin" w:hAnsi="Cabin"/>
          <w:b/>
          <w:color w:val="D4A936"/>
          <w:sz w:val="18"/>
        </w:rPr>
        <w:t>REGISTRE DE RISQUES</w:t>
      </w:r>
    </w:p>
    <w:p>
      <w:pPr>
        <w:pStyle w:val="Title"/>
        <w:jc w:val="center"/>
      </w:pPr>
      <w:r>
        <w:t>Registre des risques et conformité</w:t>
      </w:r>
    </w:p>
    <w:p>
      <w:pPr>
        <w:pStyle w:val="Subtitle"/>
        <w:jc w:val="center"/>
      </w:pPr>
      <w:r>
        <w:t>Méthode, cartographie, contrôles, indicateurs d’alerte et plans de traitement</w:t>
      </w:r>
    </w:p>
    <w:p/>
    <w:tbl>
      <w:tblPr>
        <w:tblW w:type="auto" w:w="0"/>
        <w:jc w:val="center"/>
        <w:tblLayout w:type="fixed"/>
        <w:tblLook w:firstColumn="1" w:firstRow="1" w:lastColumn="0" w:lastRow="0" w:noHBand="0" w:noVBand="1" w:val="04A0"/>
      </w:tblPr>
      <w:tblGrid>
        <w:gridCol w:w="4819"/>
        <w:gridCol w:w="4819"/>
      </w:tblGrid>
      <w:tr>
        <w:tc>
          <w:tcPr>
            <w:tcW w:type="dxa" w:w="2041"/>
            <w:shd w:fill="0B5947"/>
            <w:tcMar>
              <w:top w:w="110" w:type="dxa"/>
              <w:start w:w="120" w:type="dxa"/>
              <w:bottom w:w="110" w:type="dxa"/>
              <w:end w:w="120" w:type="dxa"/>
            </w:tcMar>
            <w:tcBorders>
              <w:bottom w:val="single" w:sz="4" w:color="D6DEDA"/>
            </w:tcBorders>
          </w:tcPr>
          <w:p>
            <w:pPr>
              <w:pStyle w:val="Tabletext"/>
            </w:pPr>
            <w:r>
              <w:rPr>
                <w:b/>
                <w:color w:val="FFFFFF"/>
              </w:rPr>
              <w:t>Statut</w:t>
            </w:r>
          </w:p>
        </w:tc>
        <w:tc>
          <w:tcPr>
            <w:tcW w:type="dxa" w:w="6237"/>
            <w:shd w:fill="F2F4F3"/>
            <w:tcMar>
              <w:top w:w="110" w:type="dxa"/>
              <w:start w:w="120" w:type="dxa"/>
              <w:bottom w:w="110" w:type="dxa"/>
              <w:end w:w="120" w:type="dxa"/>
            </w:tcMar>
            <w:tcBorders>
              <w:bottom w:val="single" w:sz="4" w:color="D6DEDA"/>
            </w:tcBorders>
          </w:tcPr>
          <w:p>
            <w:pPr>
              <w:pStyle w:val="Tabletext"/>
            </w:pPr>
            <w:r>
              <w:t>Édition consolidée - propriétaires et appétence à approuver</w:t>
            </w:r>
          </w:p>
        </w:tc>
      </w:tr>
      <w:tr>
        <w:tc>
          <w:tcPr>
            <w:tcW w:type="dxa" w:w="2041"/>
            <w:shd w:fill="EAF3EF"/>
            <w:tcMar>
              <w:top w:w="110" w:type="dxa"/>
              <w:start w:w="120" w:type="dxa"/>
              <w:bottom w:w="110" w:type="dxa"/>
              <w:end w:w="120" w:type="dxa"/>
            </w:tcMar>
            <w:tcBorders>
              <w:bottom w:val="single" w:sz="4" w:color="D6DEDA"/>
            </w:tcBorders>
          </w:tcPr>
          <w:p>
            <w:pPr>
              <w:pStyle w:val="Tabletext"/>
            </w:pPr>
            <w:r>
              <w:rPr>
                <w:b/>
              </w:rPr>
              <w:t>Édition</w:t>
            </w:r>
          </w:p>
        </w:tc>
        <w:tc>
          <w:tcPr>
            <w:tcW w:type="dxa" w:w="6237"/>
            <w:shd w:fill="FFFFFF"/>
            <w:tcMar>
              <w:top w:w="110" w:type="dxa"/>
              <w:start w:w="120" w:type="dxa"/>
              <w:bottom w:w="110" w:type="dxa"/>
              <w:end w:w="120" w:type="dxa"/>
            </w:tcMar>
            <w:tcBorders>
              <w:bottom w:val="single" w:sz="4" w:color="D6DEDA"/>
            </w:tcBorders>
          </w:tcPr>
          <w:p>
            <w:pPr>
              <w:pStyle w:val="Tabletext"/>
            </w:pPr>
            <w:r>
              <w:t>Consolidée</w:t>
            </w:r>
          </w:p>
        </w:tc>
      </w:tr>
      <w:tr>
        <w:tc>
          <w:tcPr>
            <w:tcW w:type="dxa" w:w="2041"/>
            <w:shd w:fill="EAF3EF"/>
            <w:tcMar>
              <w:top w:w="110" w:type="dxa"/>
              <w:start w:w="120" w:type="dxa"/>
              <w:bottom w:w="110" w:type="dxa"/>
              <w:end w:w="120" w:type="dxa"/>
            </w:tcMar>
            <w:tcBorders>
              <w:bottom w:val="single" w:sz="4" w:color="D6DEDA"/>
            </w:tcBorders>
          </w:tcPr>
          <w:p>
            <w:pPr>
              <w:pStyle w:val="Tabletext"/>
            </w:pPr>
            <w:r>
              <w:rPr>
                <w:b/>
              </w:rPr>
              <w:t>Audience</w:t>
            </w:r>
          </w:p>
        </w:tc>
        <w:tc>
          <w:tcPr>
            <w:tcW w:type="dxa" w:w="6237"/>
            <w:shd w:fill="F2F4F3"/>
            <w:tcMar>
              <w:top w:w="110" w:type="dxa"/>
              <w:start w:w="120" w:type="dxa"/>
              <w:bottom w:w="110" w:type="dxa"/>
              <w:end w:w="120" w:type="dxa"/>
            </w:tcMar>
            <w:tcBorders>
              <w:bottom w:val="single" w:sz="4" w:color="D6DEDA"/>
            </w:tcBorders>
          </w:tcPr>
          <w:p>
            <w:pPr>
              <w:pStyle w:val="Tabletext"/>
            </w:pPr>
            <w:r>
              <w:t>Direction, comité pilote, opérations, données, finance, technologie et partenaires</w:t>
            </w:r>
          </w:p>
        </w:tc>
      </w:tr>
      <w:tr>
        <w:tc>
          <w:tcPr>
            <w:tcW w:type="dxa" w:w="2041"/>
            <w:shd w:fill="EAF3EF"/>
            <w:tcMar>
              <w:top w:w="110" w:type="dxa"/>
              <w:start w:w="120" w:type="dxa"/>
              <w:bottom w:w="110" w:type="dxa"/>
              <w:end w:w="120" w:type="dxa"/>
            </w:tcMar>
            <w:tcBorders>
              <w:bottom w:val="single" w:sz="4" w:color="D6DEDA"/>
            </w:tcBorders>
          </w:tcPr>
          <w:p>
            <w:pPr>
              <w:pStyle w:val="Tabletext"/>
            </w:pPr>
            <w:r>
              <w:rPr>
                <w:b/>
              </w:rPr>
              <w:t>Édition</w:t>
            </w:r>
          </w:p>
        </w:tc>
        <w:tc>
          <w:tcPr>
            <w:tcW w:type="dxa" w:w="6237"/>
            <w:shd w:fill="FFFFFF"/>
            <w:tcMar>
              <w:top w:w="110" w:type="dxa"/>
              <w:start w:w="120" w:type="dxa"/>
              <w:bottom w:w="110" w:type="dxa"/>
              <w:end w:w="120" w:type="dxa"/>
            </w:tcMar>
            <w:tcBorders>
              <w:bottom w:val="single" w:sz="4" w:color="D6DEDA"/>
            </w:tcBorders>
          </w:tcPr>
          <w:p>
            <w:pPr>
              <w:pStyle w:val="Tabletext"/>
            </w:pPr>
            <w:r>
              <w:t>12 juillet 2026</w:t>
            </w:r>
          </w:p>
        </w:tc>
      </w:tr>
    </w:tbl>
    <w:p/>
    <w:p>
      <w:pPr>
        <w:jc w:val="center"/>
      </w:pPr>
      <w:r>
        <w:rPr>
          <w:b/>
          <w:color w:val="443A78"/>
          <w:sz w:val="16"/>
        </w:rPr>
        <w:t>Confidentiel - diffusion contrôlée</w:t>
      </w:r>
    </w:p>
    <w:p>
      <w:pPr>
        <w:jc w:val="center"/>
      </w:pPr>
      <w:r>
        <w:rPr>
          <w:i/>
          <w:color w:val="6D7471"/>
          <w:sz w:val="15"/>
        </w:rPr>
        <w:t>Les objectifs et hypothèses ne doivent pas être présentés comme des résultats obtenus.</w:t>
      </w:r>
    </w:p>
    <w:p>
      <w:pPr>
        <w:sectPr>
          <w:headerReference w:type="default" r:id="rId12"/>
          <w:footerReference w:type="default" r:id="rId13"/>
          <w:pgSz w:w="11906" w:h="16838"/>
          <w:pgMar w:top="1134" w:right="1134" w:bottom="1134" w:left="1134" w:header="720" w:footer="720" w:gutter="0"/>
          <w:cols w:space="720"/>
          <w:titlePg/>
          <w:docGrid w:linePitch="360"/>
        </w:sectPr>
      </w:pPr>
    </w:p>
    <w:p>
      <w:pPr>
        <w:spacing w:before="60" w:after="40"/>
      </w:pPr>
      <w:r>
        <w:rPr>
          <w:rFonts w:ascii="Cabin" w:hAnsi="Cabin"/>
          <w:b/>
          <w:color w:val="D4A936"/>
          <w:sz w:val="16"/>
        </w:rPr>
        <w:t>DÉCIDER AVANT DE SUBIR</w:t>
      </w:r>
    </w:p>
    <w:p>
      <w:pPr>
        <w:pStyle w:val="Title"/>
        <w:jc w:val="left"/>
      </w:pPr>
      <w:r>
        <w:t>Registre des risques et conformité</w:t>
      </w:r>
    </w:p>
    <w:p>
      <w:pPr>
        <w:pStyle w:val="Subtitle"/>
        <w:jc w:val="left"/>
      </w:pPr>
      <w:r>
        <w:t>Le registre distingue le risque inhérent, les contrôles, le risque résiduel et les conditions d’arrêt.</w:t>
      </w:r>
    </w:p>
    <w:p>
      <w:pPr>
        <w:spacing w:after="120"/>
        <w:pBdr>
          <w:bottom w:val="single" w:sz="12" w:space="1" w:color="D4A936"/>
        </w:pBdr>
      </w:pPr>
    </w:p>
    <w:tbl>
      <w:tblPr>
        <w:tblW w:type="auto" w:w="0"/>
        <w:jc w:val="center"/>
        <w:tblLayout w:type="fixed"/>
        <w:tblLook w:firstColumn="1" w:firstRow="1" w:lastColumn="0" w:lastRow="0" w:noHBand="0" w:noVBand="1" w:val="04A0"/>
      </w:tblPr>
      <w:tblGrid>
        <w:gridCol w:w="3184"/>
        <w:gridCol w:w="3184"/>
        <w:gridCol w:w="3184"/>
      </w:tblGrid>
      <w:tr>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2F4F3"/>
          </w:tcPr>
          <w:p>
            <w:pPr>
              <w:pStyle w:val="KPIvalue"/>
              <w:jc w:val="center"/>
            </w:pPr>
            <w:r/>
            <w:r>
              <w:t>24</w:t>
            </w:r>
          </w:p>
          <w:p>
            <w:pPr>
              <w:pStyle w:val="KPIlabel"/>
              <w:jc w:val="center"/>
            </w:pPr>
            <w:r>
              <w:t>risques prioritaires</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FFFFF"/>
          </w:tcPr>
          <w:p>
            <w:pPr>
              <w:pStyle w:val="KPIvalue"/>
              <w:jc w:val="center"/>
            </w:pPr>
            <w:r/>
            <w:r>
              <w:t>6</w:t>
            </w:r>
          </w:p>
          <w:p>
            <w:pPr>
              <w:pStyle w:val="KPIlabel"/>
              <w:jc w:val="center"/>
            </w:pPr>
            <w:r>
              <w:t>familles</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2F4F3"/>
          </w:tcPr>
          <w:p>
            <w:pPr>
              <w:pStyle w:val="KPIvalue"/>
              <w:jc w:val="center"/>
            </w:pPr>
            <w:r/>
            <w:r>
              <w:t>5 x 5</w:t>
            </w:r>
          </w:p>
          <w:p>
            <w:pPr>
              <w:pStyle w:val="KPIlabel"/>
              <w:jc w:val="center"/>
            </w:pPr>
            <w:r>
              <w:t>matrice de cotation</w:t>
            </w:r>
          </w:p>
        </w:tc>
      </w:tr>
      <w:tr>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FFFFF"/>
          </w:tcPr>
          <w:p>
            <w:pPr>
              <w:pStyle w:val="KPIvalue"/>
              <w:jc w:val="center"/>
            </w:pPr>
            <w:r/>
            <w:r>
              <w:t>7</w:t>
            </w:r>
          </w:p>
          <w:p>
            <w:pPr>
              <w:pStyle w:val="KPIlabel"/>
              <w:jc w:val="center"/>
            </w:pPr>
            <w:r>
              <w:t>signaux d’arrêt</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2F4F3"/>
          </w:tcPr>
          <w:p>
            <w:pPr>
              <w:pStyle w:val="KPIvalue"/>
              <w:jc w:val="center"/>
            </w:pPr>
            <w:r/>
            <w:r>
              <w:t>Mensuel</w:t>
            </w:r>
          </w:p>
          <w:p>
            <w:pPr>
              <w:pStyle w:val="KPIlabel"/>
              <w:jc w:val="center"/>
            </w:pPr>
            <w:r>
              <w:t>comité risques</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FFFFF"/>
          </w:tcPr>
          <w:p>
            <w:pPr>
              <w:pStyle w:val="KPIvalue"/>
              <w:jc w:val="center"/>
            </w:pPr>
            <w:r/>
            <w:r>
              <w:t>Immédiat</w:t>
            </w:r>
          </w:p>
          <w:p>
            <w:pPr>
              <w:pStyle w:val="KPIlabel"/>
              <w:jc w:val="center"/>
            </w:pPr>
            <w:r>
              <w:t>escalade critique</w:t>
            </w:r>
          </w:p>
        </w:tc>
      </w:tr>
    </w:tbl>
    <w:p>
      <w:pPr>
        <w:spacing w:after="20"/>
      </w:pP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A33A2B"/>
            <w:tcMar>
              <w:top w:w="110" w:type="dxa"/>
              <w:start w:w="130" w:type="dxa"/>
              <w:bottom w:w="110" w:type="dxa"/>
              <w:end w:w="130" w:type="dxa"/>
            </w:tcMar>
            <w:tcBorders>
              <w:top w:val="nil"/>
              <w:left w:val="nil"/>
              <w:bottom w:val="nil"/>
              <w:right w:val="nil"/>
            </w:tcBorders>
          </w:tcPr>
          <w:p/>
        </w:tc>
        <w:tc>
          <w:tcPr>
            <w:tcW w:type="dxa" w:w="9072"/>
            <w:shd w:fill="F8E8E5"/>
            <w:tcMar>
              <w:top w:w="110" w:type="dxa"/>
              <w:start w:w="130" w:type="dxa"/>
              <w:bottom w:w="110" w:type="dxa"/>
              <w:end w:w="130" w:type="dxa"/>
            </w:tcMar>
            <w:tcBorders>
              <w:top w:val="nil"/>
              <w:left w:val="nil"/>
              <w:bottom w:val="nil"/>
              <w:right w:val="nil"/>
            </w:tcBorders>
          </w:tcPr>
          <w:p>
            <w:pPr>
              <w:pStyle w:val="Callouttitle"/>
            </w:pPr>
            <w:r>
              <w:t>Appétence proposée</w:t>
            </w:r>
          </w:p>
          <w:p>
            <w:pPr>
              <w:pStyle w:val="Callouttext"/>
            </w:pPr>
            <w:r>
              <w:t>Dëggal peut accepter une incertitude commerciale mesurée. Il ne doit pas accepter un consentement ambigu, une donnée interdite, un danger physique non maîtrisé, une fraude tolérée ou un accès non autorisé.</w:t>
            </w:r>
          </w:p>
        </w:tc>
      </w:tr>
    </w:tbl>
    <w:p>
      <w:pPr>
        <w:spacing w:after="20" w:before="0"/>
      </w:pPr>
    </w:p>
    <w:p>
      <w:pPr>
        <w:pStyle w:val="Heading1"/>
        <w:keepNext/>
        <w:pageBreakBefore w:val="0"/>
      </w:pPr>
      <w:r>
        <w:t>Table des matières</w:t>
      </w:r>
    </w:p>
    <w:tbl>
      <w:tblPr>
        <w:tblW w:type="auto" w:w="0"/>
        <w:jc w:val="center"/>
        <w:tblLayout w:type="fixed"/>
        <w:tblLook w:firstColumn="1" w:firstRow="1" w:lastColumn="0" w:lastRow="0" w:noHBand="0" w:noVBand="1" w:val="04A0"/>
      </w:tblPr>
      <w:tblGrid>
        <w:gridCol w:w="4776"/>
        <w:gridCol w:w="4776"/>
      </w:tblGrid>
      <w:tr>
        <w:trPr>
          <w:tblHeader w:val="true"/>
        </w:trPr>
        <w:tc>
          <w:tcPr>
            <w:tcW w:type="dxa" w:w="8334"/>
            <w:shd w:fill="143B31"/>
            <w:tcMar>
              <w:top w:w="80" w:type="dxa"/>
              <w:start w:w="100" w:type="dxa"/>
              <w:bottom w:w="80" w:type="dxa"/>
              <w:end w:w="100" w:type="dxa"/>
            </w:tcMar>
          </w:tcPr>
          <w:p>
            <w:pPr>
              <w:pStyle w:val="Tabletext"/>
            </w:pPr>
            <w:r>
              <w:rPr>
                <w:b/>
                <w:color w:val="FFFFFF"/>
              </w:rPr>
              <w:t>Section</w:t>
            </w:r>
          </w:p>
        </w:tc>
        <w:tc>
          <w:tcPr>
            <w:tcW w:type="dxa" w:w="1020"/>
            <w:shd w:fill="143B31"/>
            <w:tcMar>
              <w:top w:w="80" w:type="dxa"/>
              <w:start w:w="100" w:type="dxa"/>
              <w:bottom w:w="80" w:type="dxa"/>
              <w:end w:w="100" w:type="dxa"/>
            </w:tcMar>
          </w:tcPr>
          <w:p>
            <w:pPr>
              <w:pStyle w:val="Tabletext"/>
            </w:pPr>
            <w:r>
              <w:rPr>
                <w:b/>
                <w:color w:val="FFFFFF"/>
              </w:rPr>
              <w:t>Page</w:t>
            </w:r>
          </w:p>
        </w:tc>
      </w:tr>
      <w:tr>
        <w:tc>
          <w:tcPr>
            <w:tcW w:type="dxa" w:w="4776"/>
            <w:shd w:fill="FFFFFF"/>
            <w:tcMar>
              <w:top w:w="70" w:type="dxa"/>
              <w:start w:w="90" w:type="dxa"/>
              <w:bottom w:w="70" w:type="dxa"/>
              <w:end w:w="90" w:type="dxa"/>
            </w:tcMar>
            <w:tcBorders>
              <w:bottom w:val="single" w:sz="2" w:color="E5E9E7"/>
            </w:tcBorders>
          </w:tcPr>
          <w:p>
            <w:pPr>
              <w:pStyle w:val="Tabletext"/>
            </w:pPr>
            <w:r>
              <w:t>1. Méthode de cotation</w:t>
            </w:r>
          </w:p>
        </w:tc>
        <w:tc>
          <w:tcPr>
            <w:tcW w:type="dxa" w:w="4776"/>
            <w:shd w:fill="FFFFFF"/>
            <w:tcMar>
              <w:top w:w="70" w:type="dxa"/>
              <w:start w:w="90" w:type="dxa"/>
              <w:bottom w:w="70" w:type="dxa"/>
              <w:end w:w="90" w:type="dxa"/>
            </w:tcMar>
            <w:tcBorders>
              <w:bottom w:val="single" w:sz="2" w:color="E5E9E7"/>
            </w:tcBorders>
          </w:tcPr>
          <w:p>
            <w:pPr>
              <w:pStyle w:val="Tabletext"/>
              <w:jc w:val="right"/>
            </w:pPr>
            <w:r>
              <w:t>1</w:t>
            </w:r>
          </w:p>
        </w:tc>
      </w:tr>
      <w:tr>
        <w:tc>
          <w:tcPr>
            <w:tcW w:type="dxa" w:w="4776"/>
            <w:shd w:fill="F2F4F3"/>
            <w:tcMar>
              <w:top w:w="70" w:type="dxa"/>
              <w:start w:w="90" w:type="dxa"/>
              <w:bottom w:w="70" w:type="dxa"/>
              <w:end w:w="90" w:type="dxa"/>
            </w:tcMar>
            <w:tcBorders>
              <w:bottom w:val="single" w:sz="2" w:color="E5E9E7"/>
            </w:tcBorders>
          </w:tcPr>
          <w:p>
            <w:pPr>
              <w:pStyle w:val="Tabletext"/>
            </w:pPr>
            <w:r>
              <w:t>2. Gouvernance du registre</w:t>
            </w:r>
          </w:p>
        </w:tc>
        <w:tc>
          <w:tcPr>
            <w:tcW w:type="dxa" w:w="4776"/>
            <w:shd w:fill="F2F4F3"/>
            <w:tcMar>
              <w:top w:w="70" w:type="dxa"/>
              <w:start w:w="90" w:type="dxa"/>
              <w:bottom w:w="70" w:type="dxa"/>
              <w:end w:w="90" w:type="dxa"/>
            </w:tcMar>
            <w:tcBorders>
              <w:bottom w:val="single" w:sz="2" w:color="E5E9E7"/>
            </w:tcBorders>
          </w:tcPr>
          <w:p>
            <w:pPr>
              <w:pStyle w:val="Tabletext"/>
              <w:jc w:val="right"/>
            </w:pPr>
            <w:r>
              <w:t>2</w:t>
            </w:r>
          </w:p>
        </w:tc>
      </w:tr>
      <w:tr>
        <w:tc>
          <w:tcPr>
            <w:tcW w:type="dxa" w:w="4776"/>
            <w:shd w:fill="FFFFFF"/>
            <w:tcMar>
              <w:top w:w="70" w:type="dxa"/>
              <w:start w:w="90" w:type="dxa"/>
              <w:bottom w:w="70" w:type="dxa"/>
              <w:end w:w="90" w:type="dxa"/>
            </w:tcMar>
            <w:tcBorders>
              <w:bottom w:val="single" w:sz="2" w:color="E5E9E7"/>
            </w:tcBorders>
          </w:tcPr>
          <w:p>
            <w:pPr>
              <w:pStyle w:val="Tabletext"/>
            </w:pPr>
            <w:r>
              <w:t>3. Registre prioritaire</w:t>
            </w:r>
          </w:p>
        </w:tc>
        <w:tc>
          <w:tcPr>
            <w:tcW w:type="dxa" w:w="4776"/>
            <w:shd w:fill="FFFFFF"/>
            <w:tcMar>
              <w:top w:w="70" w:type="dxa"/>
              <w:start w:w="90" w:type="dxa"/>
              <w:bottom w:w="70" w:type="dxa"/>
              <w:end w:w="90" w:type="dxa"/>
            </w:tcMar>
            <w:tcBorders>
              <w:bottom w:val="single" w:sz="2" w:color="E5E9E7"/>
            </w:tcBorders>
          </w:tcPr>
          <w:p>
            <w:pPr>
              <w:pStyle w:val="Tabletext"/>
              <w:jc w:val="right"/>
            </w:pPr>
            <w:r>
              <w:t>2</w:t>
            </w:r>
          </w:p>
        </w:tc>
      </w:tr>
      <w:tr>
        <w:tc>
          <w:tcPr>
            <w:tcW w:type="dxa" w:w="4776"/>
            <w:shd w:fill="F2F4F3"/>
            <w:tcMar>
              <w:top w:w="70" w:type="dxa"/>
              <w:start w:w="90" w:type="dxa"/>
              <w:bottom w:w="70" w:type="dxa"/>
              <w:end w:w="90" w:type="dxa"/>
            </w:tcMar>
            <w:tcBorders>
              <w:bottom w:val="single" w:sz="2" w:color="E5E9E7"/>
            </w:tcBorders>
          </w:tcPr>
          <w:p>
            <w:pPr>
              <w:pStyle w:val="Tabletext"/>
            </w:pPr>
            <w:r>
              <w:t>4. Risques critiques avant lancement</w:t>
            </w:r>
          </w:p>
        </w:tc>
        <w:tc>
          <w:tcPr>
            <w:tcW w:type="dxa" w:w="4776"/>
            <w:shd w:fill="F2F4F3"/>
            <w:tcMar>
              <w:top w:w="70" w:type="dxa"/>
              <w:start w:w="90" w:type="dxa"/>
              <w:bottom w:w="70" w:type="dxa"/>
              <w:end w:w="90" w:type="dxa"/>
            </w:tcMar>
            <w:tcBorders>
              <w:bottom w:val="single" w:sz="2" w:color="E5E9E7"/>
            </w:tcBorders>
          </w:tcPr>
          <w:p>
            <w:pPr>
              <w:pStyle w:val="Tabletext"/>
              <w:jc w:val="right"/>
            </w:pPr>
            <w:r>
              <w:t>4</w:t>
            </w:r>
          </w:p>
        </w:tc>
      </w:tr>
      <w:tr>
        <w:tc>
          <w:tcPr>
            <w:tcW w:type="dxa" w:w="4776"/>
            <w:shd w:fill="FFFFFF"/>
            <w:tcMar>
              <w:top w:w="70" w:type="dxa"/>
              <w:start w:w="90" w:type="dxa"/>
              <w:bottom w:w="70" w:type="dxa"/>
              <w:end w:w="90" w:type="dxa"/>
            </w:tcMar>
            <w:tcBorders>
              <w:bottom w:val="single" w:sz="2" w:color="E5E9E7"/>
            </w:tcBorders>
          </w:tcPr>
          <w:p>
            <w:pPr>
              <w:pStyle w:val="Tabletext"/>
            </w:pPr>
            <w:r>
              <w:t>5. Indicateurs d’alerte</w:t>
            </w:r>
          </w:p>
        </w:tc>
        <w:tc>
          <w:tcPr>
            <w:tcW w:type="dxa" w:w="4776"/>
            <w:shd w:fill="FFFFFF"/>
            <w:tcMar>
              <w:top w:w="70" w:type="dxa"/>
              <w:start w:w="90" w:type="dxa"/>
              <w:bottom w:w="70" w:type="dxa"/>
              <w:end w:w="90" w:type="dxa"/>
            </w:tcMar>
            <w:tcBorders>
              <w:bottom w:val="single" w:sz="2" w:color="E5E9E7"/>
            </w:tcBorders>
          </w:tcPr>
          <w:p>
            <w:pPr>
              <w:pStyle w:val="Tabletext"/>
              <w:jc w:val="right"/>
            </w:pPr>
            <w:r>
              <w:t>4</w:t>
            </w:r>
          </w:p>
        </w:tc>
      </w:tr>
      <w:tr>
        <w:tc>
          <w:tcPr>
            <w:tcW w:type="dxa" w:w="4776"/>
            <w:shd w:fill="F2F4F3"/>
            <w:tcMar>
              <w:top w:w="70" w:type="dxa"/>
              <w:start w:w="90" w:type="dxa"/>
              <w:bottom w:w="70" w:type="dxa"/>
              <w:end w:w="90" w:type="dxa"/>
            </w:tcMar>
            <w:tcBorders>
              <w:bottom w:val="single" w:sz="2" w:color="E5E9E7"/>
            </w:tcBorders>
          </w:tcPr>
          <w:p>
            <w:pPr>
              <w:pStyle w:val="Tabletext"/>
            </w:pPr>
            <w:r>
              <w:t>6. Scénarios de crise</w:t>
            </w:r>
          </w:p>
        </w:tc>
        <w:tc>
          <w:tcPr>
            <w:tcW w:type="dxa" w:w="4776"/>
            <w:shd w:fill="F2F4F3"/>
            <w:tcMar>
              <w:top w:w="70" w:type="dxa"/>
              <w:start w:w="90" w:type="dxa"/>
              <w:bottom w:w="70" w:type="dxa"/>
              <w:end w:w="90" w:type="dxa"/>
            </w:tcMar>
            <w:tcBorders>
              <w:bottom w:val="single" w:sz="2" w:color="E5E9E7"/>
            </w:tcBorders>
          </w:tcPr>
          <w:p>
            <w:pPr>
              <w:pStyle w:val="Tabletext"/>
              <w:jc w:val="right"/>
            </w:pPr>
            <w:r>
              <w:t>5</w:t>
            </w:r>
          </w:p>
        </w:tc>
      </w:tr>
      <w:tr>
        <w:tc>
          <w:tcPr>
            <w:tcW w:type="dxa" w:w="4776"/>
            <w:shd w:fill="FFFFFF"/>
            <w:tcMar>
              <w:top w:w="70" w:type="dxa"/>
              <w:start w:w="90" w:type="dxa"/>
              <w:bottom w:w="70" w:type="dxa"/>
              <w:end w:w="90" w:type="dxa"/>
            </w:tcMar>
            <w:tcBorders>
              <w:bottom w:val="single" w:sz="2" w:color="E5E9E7"/>
            </w:tcBorders>
          </w:tcPr>
          <w:p>
            <w:pPr>
              <w:pStyle w:val="Tabletext"/>
            </w:pPr>
            <w:r>
              <w:t>7. Plan de traitement sur 30 jours</w:t>
            </w:r>
          </w:p>
        </w:tc>
        <w:tc>
          <w:tcPr>
            <w:tcW w:type="dxa" w:w="4776"/>
            <w:shd w:fill="FFFFFF"/>
            <w:tcMar>
              <w:top w:w="70" w:type="dxa"/>
              <w:start w:w="90" w:type="dxa"/>
              <w:bottom w:w="70" w:type="dxa"/>
              <w:end w:w="90" w:type="dxa"/>
            </w:tcMar>
            <w:tcBorders>
              <w:bottom w:val="single" w:sz="2" w:color="E5E9E7"/>
            </w:tcBorders>
          </w:tcPr>
          <w:p>
            <w:pPr>
              <w:pStyle w:val="Tabletext"/>
              <w:jc w:val="right"/>
            </w:pPr>
            <w:r>
              <w:t>5</w:t>
            </w:r>
          </w:p>
        </w:tc>
      </w:tr>
      <w:tr>
        <w:tc>
          <w:tcPr>
            <w:tcW w:type="dxa" w:w="4776"/>
            <w:shd w:fill="F2F4F3"/>
            <w:tcMar>
              <w:top w:w="70" w:type="dxa"/>
              <w:start w:w="90" w:type="dxa"/>
              <w:bottom w:w="70" w:type="dxa"/>
              <w:end w:w="90" w:type="dxa"/>
            </w:tcMar>
            <w:tcBorders>
              <w:bottom w:val="single" w:sz="2" w:color="E5E9E7"/>
            </w:tcBorders>
          </w:tcPr>
          <w:p>
            <w:pPr>
              <w:pStyle w:val="Tabletext"/>
            </w:pPr>
            <w:r>
              <w:t>8. Modèle de fiche de risque</w:t>
            </w:r>
          </w:p>
        </w:tc>
        <w:tc>
          <w:tcPr>
            <w:tcW w:type="dxa" w:w="4776"/>
            <w:shd w:fill="F2F4F3"/>
            <w:tcMar>
              <w:top w:w="70" w:type="dxa"/>
              <w:start w:w="90" w:type="dxa"/>
              <w:bottom w:w="70" w:type="dxa"/>
              <w:end w:w="90" w:type="dxa"/>
            </w:tcMar>
            <w:tcBorders>
              <w:bottom w:val="single" w:sz="2" w:color="E5E9E7"/>
            </w:tcBorders>
          </w:tcPr>
          <w:p>
            <w:pPr>
              <w:pStyle w:val="Tabletext"/>
              <w:jc w:val="right"/>
            </w:pPr>
            <w:r>
              <w:t>5</w:t>
            </w:r>
          </w:p>
        </w:tc>
      </w:tr>
      <w:tr>
        <w:tc>
          <w:tcPr>
            <w:tcW w:type="dxa" w:w="4776"/>
            <w:shd w:fill="FFFFFF"/>
            <w:tcMar>
              <w:top w:w="70" w:type="dxa"/>
              <w:start w:w="90" w:type="dxa"/>
              <w:bottom w:w="70" w:type="dxa"/>
              <w:end w:w="90" w:type="dxa"/>
            </w:tcMar>
            <w:tcBorders>
              <w:bottom w:val="single" w:sz="2" w:color="E5E9E7"/>
            </w:tcBorders>
          </w:tcPr>
          <w:p>
            <w:pPr>
              <w:pStyle w:val="Tabletext"/>
            </w:pPr>
            <w:r>
              <w:t>9. Revue et reporting</w:t>
            </w:r>
          </w:p>
        </w:tc>
        <w:tc>
          <w:tcPr>
            <w:tcW w:type="dxa" w:w="4776"/>
            <w:shd w:fill="FFFFFF"/>
            <w:tcMar>
              <w:top w:w="70" w:type="dxa"/>
              <w:start w:w="90" w:type="dxa"/>
              <w:bottom w:w="70" w:type="dxa"/>
              <w:end w:w="90" w:type="dxa"/>
            </w:tcMar>
            <w:tcBorders>
              <w:bottom w:val="single" w:sz="2" w:color="E5E9E7"/>
            </w:tcBorders>
          </w:tcPr>
          <w:p>
            <w:pPr>
              <w:pStyle w:val="Tabletext"/>
              <w:jc w:val="right"/>
            </w:pPr>
            <w:r>
              <w:t>6</w:t>
            </w:r>
          </w:p>
        </w:tc>
      </w:tr>
      <w:tr>
        <w:tc>
          <w:tcPr>
            <w:tcW w:type="dxa" w:w="4776"/>
            <w:shd w:fill="F2F4F3"/>
            <w:tcMar>
              <w:top w:w="70" w:type="dxa"/>
              <w:start w:w="90" w:type="dxa"/>
              <w:bottom w:w="70" w:type="dxa"/>
              <w:end w:w="90" w:type="dxa"/>
            </w:tcMar>
            <w:tcBorders>
              <w:bottom w:val="single" w:sz="2" w:color="E5E9E7"/>
            </w:tcBorders>
          </w:tcPr>
          <w:p>
            <w:pPr>
              <w:pStyle w:val="Tabletext"/>
            </w:pPr>
            <w:r>
              <w:t>10. Sources et limites</w:t>
            </w:r>
          </w:p>
        </w:tc>
        <w:tc>
          <w:tcPr>
            <w:tcW w:type="dxa" w:w="4776"/>
            <w:shd w:fill="F2F4F3"/>
            <w:tcMar>
              <w:top w:w="70" w:type="dxa"/>
              <w:start w:w="90" w:type="dxa"/>
              <w:bottom w:w="70" w:type="dxa"/>
              <w:end w:w="90" w:type="dxa"/>
            </w:tcMar>
            <w:tcBorders>
              <w:bottom w:val="single" w:sz="2" w:color="E5E9E7"/>
            </w:tcBorders>
          </w:tcPr>
          <w:p>
            <w:pPr>
              <w:pStyle w:val="Tabletext"/>
              <w:jc w:val="right"/>
            </w:pPr>
            <w:r>
              <w:t>6</w:t>
            </w:r>
          </w:p>
        </w:tc>
      </w:tr>
    </w:tbl>
    <w:p>
      <w:pPr>
        <w:pStyle w:val="Heading1"/>
        <w:keepNext/>
        <w:pageBreakBefore w:val="0"/>
      </w:pPr>
      <w:r>
        <w:t>1. Méthode de cotation</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113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Score</w:t>
            </w:r>
          </w:p>
        </w:tc>
        <w:tc>
          <w:tcPr>
            <w:tcW w:type="dxa" w:w="3969"/>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Probabilité</w:t>
            </w:r>
          </w:p>
        </w:tc>
        <w:tc>
          <w:tcPr>
            <w:tcW w:type="dxa" w:w="4252"/>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Impact</w:t>
            </w:r>
          </w:p>
        </w:tc>
      </w:tr>
      <w:tr>
        <w:trPr>
          <w:cantSplit/>
        </w:trPr>
        <w:tc>
          <w:tcPr>
            <w:tcW w:type="dxa" w:w="113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1</w:t>
            </w:r>
          </w:p>
        </w:tc>
        <w:tc>
          <w:tcPr>
            <w:tcW w:type="dxa" w:w="396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Rare - scénario exceptionnel.</w:t>
            </w:r>
          </w:p>
        </w:tc>
        <w:tc>
          <w:tcPr>
            <w:tcW w:type="dxa" w:w="425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Mineur - correction locale sans effet durable.</w:t>
            </w:r>
          </w:p>
        </w:tc>
      </w:tr>
      <w:tr>
        <w:trPr>
          <w:cantSplit/>
        </w:trPr>
        <w:tc>
          <w:tcPr>
            <w:tcW w:type="dxa" w:w="113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2</w:t>
            </w:r>
          </w:p>
        </w:tc>
        <w:tc>
          <w:tcPr>
            <w:tcW w:type="dxa" w:w="396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Peu probable - possible mais non attendu.</w:t>
            </w:r>
          </w:p>
        </w:tc>
        <w:tc>
          <w:tcPr>
            <w:tcW w:type="dxa" w:w="425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Modéré - retard ou coût limité.</w:t>
            </w:r>
          </w:p>
        </w:tc>
      </w:tr>
      <w:tr>
        <w:trPr>
          <w:cantSplit/>
        </w:trPr>
        <w:tc>
          <w:tcPr>
            <w:tcW w:type="dxa" w:w="113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3</w:t>
            </w:r>
          </w:p>
        </w:tc>
        <w:tc>
          <w:tcPr>
            <w:tcW w:type="dxa" w:w="396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Possible - peut survenir pendant le pilote.</w:t>
            </w:r>
          </w:p>
        </w:tc>
        <w:tc>
          <w:tcPr>
            <w:tcW w:type="dxa" w:w="425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Sérieux - objectif, personne ou partenaire affecté.</w:t>
            </w:r>
          </w:p>
        </w:tc>
      </w:tr>
      <w:tr>
        <w:trPr>
          <w:cantSplit/>
        </w:trPr>
        <w:tc>
          <w:tcPr>
            <w:tcW w:type="dxa" w:w="113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4</w:t>
            </w:r>
          </w:p>
        </w:tc>
        <w:tc>
          <w:tcPr>
            <w:tcW w:type="dxa" w:w="396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Probable - attendu sans contrôle renforcé.</w:t>
            </w:r>
          </w:p>
        </w:tc>
        <w:tc>
          <w:tcPr>
            <w:tcW w:type="dxa" w:w="425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Majeur - suspension partielle, perte financière ou réputation.</w:t>
            </w:r>
          </w:p>
        </w:tc>
      </w:tr>
      <w:tr>
        <w:trPr>
          <w:cantSplit/>
        </w:trPr>
        <w:tc>
          <w:tcPr>
            <w:tcW w:type="dxa" w:w="113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5</w:t>
            </w:r>
          </w:p>
        </w:tc>
        <w:tc>
          <w:tcPr>
            <w:tcW w:type="dxa" w:w="396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Très probable - déjà observé ou structurel.</w:t>
            </w:r>
          </w:p>
        </w:tc>
        <w:tc>
          <w:tcPr>
            <w:tcW w:type="dxa" w:w="425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Critique - atteinte aux personnes, illégalité, arrêt ou perte durable.</w:t>
            </w:r>
          </w:p>
        </w:tc>
      </w:tr>
    </w:tbl>
    <w:p>
      <w:pPr>
        <w:spacing w:after="40"/>
      </w:pPr>
    </w:p>
    <w:p>
      <w:r>
        <w:t>Le score brut est le produit probabilité x impact. Les contrôles sont évalués séparément. Le score résiduel est réestimé après contrôle, plutôt que soustrait mécaniquement.</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198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Score résiduel</w:t>
            </w:r>
          </w:p>
        </w:tc>
        <w:tc>
          <w:tcPr>
            <w:tcW w:type="dxa" w:w="198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Niveau</w:t>
            </w:r>
          </w:p>
        </w:tc>
        <w:tc>
          <w:tcPr>
            <w:tcW w:type="dxa" w:w="5386"/>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Décision</w:t>
            </w:r>
          </w:p>
        </w:tc>
      </w:tr>
      <w:tr>
        <w:trPr>
          <w:cantSplit/>
        </w:trPr>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1 à 4</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Faible</w:t>
            </w:r>
          </w:p>
        </w:tc>
        <w:tc>
          <w:tcPr>
            <w:tcW w:type="dxa" w:w="538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Surveiller dans le processus courant.</w:t>
            </w:r>
          </w:p>
        </w:tc>
      </w:tr>
      <w:tr>
        <w:trPr>
          <w:cantSplit/>
        </w:trPr>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5 à 9</w:t>
            </w:r>
          </w:p>
        </w:tc>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Modéré</w:t>
            </w:r>
          </w:p>
        </w:tc>
        <w:tc>
          <w:tcPr>
            <w:tcW w:type="dxa" w:w="538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Propriétaire et action datée.</w:t>
            </w:r>
          </w:p>
        </w:tc>
      </w:tr>
      <w:tr>
        <w:trPr>
          <w:cantSplit/>
        </w:trPr>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10 à 14</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Élevé</w:t>
            </w:r>
          </w:p>
        </w:tc>
        <w:tc>
          <w:tcPr>
            <w:tcW w:type="dxa" w:w="538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Plan prioritaire et revue de direction.</w:t>
            </w:r>
          </w:p>
        </w:tc>
      </w:tr>
      <w:tr>
        <w:trPr>
          <w:cantSplit/>
        </w:trPr>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15 à 25</w:t>
            </w:r>
          </w:p>
        </w:tc>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Critique</w:t>
            </w:r>
          </w:p>
        </w:tc>
        <w:tc>
          <w:tcPr>
            <w:tcW w:type="dxa" w:w="538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Ne pas lancer ou suspendre jusqu’à réduction approuvée.</w:t>
            </w:r>
          </w:p>
        </w:tc>
      </w:tr>
    </w:tbl>
    <w:p>
      <w:pPr>
        <w:spacing w:after="40"/>
      </w:pPr>
    </w:p>
    <w:p>
      <w:pPr>
        <w:pStyle w:val="Heading1"/>
        <w:keepNext/>
        <w:pageBreakBefore w:val="0"/>
      </w:pPr>
      <w:r>
        <w:t>2. Gouvernance du registre</w:t>
      </w:r>
    </w:p>
    <w:tbl>
      <w:tblPr>
        <w:tblW w:type="auto" w:w="0"/>
        <w:jc w:val="center"/>
        <w:tblLayout w:type="fixed"/>
        <w:tblLook w:firstColumn="1" w:firstRow="1" w:lastColumn="0" w:lastRow="0" w:noHBand="0" w:noVBand="1" w:val="04A0"/>
      </w:tblPr>
      <w:tblGrid>
        <w:gridCol w:w="4776"/>
        <w:gridCol w:w="4776"/>
      </w:tblGrid>
      <w:tr>
        <w:trPr>
          <w:tblHeader w:val="true"/>
        </w:trPr>
        <w:tc>
          <w:tcPr>
            <w:tcW w:type="dxa" w:w="238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Rôle</w:t>
            </w:r>
          </w:p>
        </w:tc>
        <w:tc>
          <w:tcPr>
            <w:tcW w:type="dxa" w:w="697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Responsabilité</w:t>
            </w:r>
          </w:p>
        </w:tc>
      </w:tr>
      <w:tr>
        <w:trPr>
          <w:cantSplit/>
        </w:trPr>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Comité pilote</w:t>
            </w:r>
          </w:p>
        </w:tc>
        <w:tc>
          <w:tcPr>
            <w:tcW w:type="dxa" w:w="69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Revoit risques élevés, arbitrages, incidents et conditions de passage.</w:t>
            </w:r>
          </w:p>
        </w:tc>
      </w:tr>
      <w:tr>
        <w:trPr>
          <w:cantSplit/>
        </w:trPr>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Propriétaire du risque</w:t>
            </w:r>
          </w:p>
        </w:tc>
        <w:tc>
          <w:tcPr>
            <w:tcW w:type="dxa" w:w="69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Met en œuvre les actions et fournit une preuve de contrôle.</w:t>
            </w:r>
          </w:p>
        </w:tc>
      </w:tr>
      <w:tr>
        <w:trPr>
          <w:cantSplit/>
        </w:trPr>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Responsable risques / données</w:t>
            </w:r>
          </w:p>
        </w:tc>
        <w:tc>
          <w:tcPr>
            <w:tcW w:type="dxa" w:w="69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Tient le registre, challenge les scores et déclenche les escalades.</w:t>
            </w:r>
          </w:p>
        </w:tc>
      </w:tr>
      <w:tr>
        <w:trPr>
          <w:cantSplit/>
        </w:trPr>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Finance</w:t>
            </w:r>
          </w:p>
        </w:tc>
        <w:tc>
          <w:tcPr>
            <w:tcW w:type="dxa" w:w="69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Suit trésorerie, engagements, fraude et preuves de dépense.</w:t>
            </w:r>
          </w:p>
        </w:tc>
      </w:tr>
      <w:tr>
        <w:trPr>
          <w:cantSplit/>
        </w:trPr>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Opérations</w:t>
            </w:r>
          </w:p>
        </w:tc>
        <w:tc>
          <w:tcPr>
            <w:tcW w:type="dxa" w:w="69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Suit sécurité terrain, qualité, productivité et incidents.</w:t>
            </w:r>
          </w:p>
        </w:tc>
      </w:tr>
      <w:tr>
        <w:trPr>
          <w:cantSplit/>
        </w:trPr>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Technologie</w:t>
            </w:r>
          </w:p>
        </w:tc>
        <w:tc>
          <w:tcPr>
            <w:tcW w:type="dxa" w:w="69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Suit disponibilité, accès, sauvegardes, intégrité et changements.</w:t>
            </w:r>
          </w:p>
        </w:tc>
      </w:tr>
      <w:tr>
        <w:trPr>
          <w:cantSplit/>
        </w:trPr>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Conseil juridique</w:t>
            </w:r>
          </w:p>
        </w:tc>
        <w:tc>
          <w:tcPr>
            <w:tcW w:type="dxa" w:w="69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Évalue conformité, contrats, formalités et notification.</w:t>
            </w:r>
          </w:p>
        </w:tc>
      </w:tr>
    </w:tbl>
    <w:p>
      <w:pPr>
        <w:spacing w:after="40"/>
      </w:pP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0B5947"/>
            <w:tcMar>
              <w:top w:w="110" w:type="dxa"/>
              <w:start w:w="130" w:type="dxa"/>
              <w:bottom w:w="110" w:type="dxa"/>
              <w:end w:w="130" w:type="dxa"/>
            </w:tcMar>
            <w:tcBorders>
              <w:top w:val="nil"/>
              <w:left w:val="nil"/>
              <w:bottom w:val="nil"/>
              <w:right w:val="nil"/>
            </w:tcBorders>
          </w:tcPr>
          <w:p/>
        </w:tc>
        <w:tc>
          <w:tcPr>
            <w:tcW w:type="dxa" w:w="9072"/>
            <w:shd w:fill="EAF3EF"/>
            <w:tcMar>
              <w:top w:w="110" w:type="dxa"/>
              <w:start w:w="130" w:type="dxa"/>
              <w:bottom w:w="110" w:type="dxa"/>
              <w:end w:w="130" w:type="dxa"/>
            </w:tcMar>
            <w:tcBorders>
              <w:top w:val="nil"/>
              <w:left w:val="nil"/>
              <w:bottom w:val="nil"/>
              <w:right w:val="nil"/>
            </w:tcBorders>
          </w:tcPr>
          <w:p>
            <w:pPr>
              <w:pStyle w:val="Callouttitle"/>
            </w:pPr>
            <w:r>
              <w:t>Règle de fermeture</w:t>
            </w:r>
          </w:p>
          <w:p>
            <w:pPr>
              <w:pStyle w:val="Callouttext"/>
            </w:pPr>
            <w:r>
              <w:t>Un risque n’est jamais fermé parce qu’une action a été annoncée. Il est fermé lorsque la mesure est mise en œuvre, testée et documentée - ou lorsque l’exposition a réellement disparu.</w:t>
            </w:r>
          </w:p>
        </w:tc>
      </w:tr>
    </w:tbl>
    <w:p>
      <w:pPr>
        <w:spacing w:after="20" w:before="0"/>
      </w:pPr>
    </w:p>
    <w:p>
      <w:pPr>
        <w:pStyle w:val="Heading1"/>
        <w:keepNext/>
        <w:pageBreakBefore w:val="0"/>
      </w:pPr>
      <w:r>
        <w:t>3. Registre prioritaire</w:t>
      </w:r>
    </w:p>
    <w:tbl>
      <w:tblPr>
        <w:tblW w:type="auto" w:w="0"/>
        <w:jc w:val="center"/>
        <w:tblLayout w:type="fixed"/>
        <w:tblLook w:firstColumn="1" w:firstRow="1" w:lastColumn="0" w:lastRow="0" w:noHBand="0" w:noVBand="1" w:val="04A0"/>
      </w:tblPr>
      <w:tblGrid>
        <w:gridCol w:w="1061"/>
        <w:gridCol w:w="1061"/>
        <w:gridCol w:w="1061"/>
        <w:gridCol w:w="1061"/>
        <w:gridCol w:w="1061"/>
        <w:gridCol w:w="1061"/>
        <w:gridCol w:w="1061"/>
        <w:gridCol w:w="1061"/>
        <w:gridCol w:w="1061"/>
      </w:tblGrid>
      <w:tr>
        <w:trPr>
          <w:tblHeader w:val="true"/>
        </w:trPr>
        <w:tc>
          <w:tcPr>
            <w:tcW w:type="dxa" w:w="680"/>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2"/>
              </w:rPr>
              <w:t>ID</w:t>
            </w:r>
          </w:p>
        </w:tc>
        <w:tc>
          <w:tcPr>
            <w:tcW w:type="dxa" w:w="1190"/>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2"/>
              </w:rPr>
              <w:t>Famille</w:t>
            </w:r>
          </w:p>
        </w:tc>
        <w:tc>
          <w:tcPr>
            <w:tcW w:type="dxa" w:w="232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2"/>
              </w:rPr>
              <w:t>Risque</w:t>
            </w:r>
          </w:p>
        </w:tc>
        <w:tc>
          <w:tcPr>
            <w:tcW w:type="dxa" w:w="396"/>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2"/>
              </w:rPr>
              <w:t>P</w:t>
            </w:r>
          </w:p>
        </w:tc>
        <w:tc>
          <w:tcPr>
            <w:tcW w:type="dxa" w:w="396"/>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2"/>
              </w:rPr>
              <w:t>I</w:t>
            </w:r>
          </w:p>
        </w:tc>
        <w:tc>
          <w:tcPr>
            <w:tcW w:type="dxa" w:w="510"/>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2"/>
              </w:rPr>
              <w:t>Brut</w:t>
            </w:r>
          </w:p>
        </w:tc>
        <w:tc>
          <w:tcPr>
            <w:tcW w:type="dxa" w:w="255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2"/>
              </w:rPr>
              <w:t>Contrôles clés</w:t>
            </w:r>
          </w:p>
        </w:tc>
        <w:tc>
          <w:tcPr>
            <w:tcW w:type="dxa" w:w="124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2"/>
              </w:rPr>
              <w:t>Propriétaire</w:t>
            </w:r>
          </w:p>
        </w:tc>
        <w:tc>
          <w:tcPr>
            <w:tcW w:type="dxa" w:w="510"/>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2"/>
              </w:rPr>
              <w:t>Résid.</w:t>
            </w:r>
          </w:p>
        </w:tc>
      </w:tr>
      <w:tr>
        <w:trPr>
          <w:cantSplit/>
        </w:trPr>
        <w:tc>
          <w:tcPr>
            <w:tcW w:type="dxa" w:w="68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R-01</w:t>
            </w:r>
          </w:p>
        </w:tc>
        <w:tc>
          <w:tcPr>
            <w:tcW w:type="dxa" w:w="119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Stratégie</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Besoin partenaire non confirmé</w:t>
            </w:r>
          </w:p>
        </w:tc>
        <w:tc>
          <w:tcPr>
            <w:tcW w:type="dxa" w:w="39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4</w:t>
            </w:r>
          </w:p>
        </w:tc>
        <w:tc>
          <w:tcPr>
            <w:tcW w:type="dxa" w:w="39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4</w:t>
            </w:r>
          </w:p>
        </w:tc>
        <w:tc>
          <w:tcPr>
            <w:tcW w:type="dxa" w:w="51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16</w:t>
            </w:r>
          </w:p>
        </w:tc>
        <w:tc>
          <w:tcPr>
            <w:tcW w:type="dxa" w:w="255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Entretiens fondés sur des cas réels; pilotes payants; critères de décision.</w:t>
            </w:r>
          </w:p>
        </w:tc>
        <w:tc>
          <w:tcPr>
            <w:tcW w:type="dxa" w:w="124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Direction commerciale</w:t>
            </w:r>
          </w:p>
        </w:tc>
        <w:tc>
          <w:tcPr>
            <w:tcW w:type="dxa" w:w="51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9</w:t>
            </w:r>
          </w:p>
        </w:tc>
      </w:tr>
      <w:tr>
        <w:trPr>
          <w:cantSplit/>
        </w:trPr>
        <w:tc>
          <w:tcPr>
            <w:tcW w:type="dxa" w:w="68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R-02</w:t>
            </w:r>
          </w:p>
        </w:tc>
        <w:tc>
          <w:tcPr>
            <w:tcW w:type="dxa" w:w="119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Stratégie</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Proposition confondue avec crédit ou subvention</w:t>
            </w:r>
          </w:p>
        </w:tc>
        <w:tc>
          <w:tcPr>
            <w:tcW w:type="dxa" w:w="39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4</w:t>
            </w:r>
          </w:p>
        </w:tc>
        <w:tc>
          <w:tcPr>
            <w:tcW w:type="dxa" w:w="39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4</w:t>
            </w:r>
          </w:p>
        </w:tc>
        <w:tc>
          <w:tcPr>
            <w:tcW w:type="dxa" w:w="51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16</w:t>
            </w:r>
          </w:p>
        </w:tc>
        <w:tc>
          <w:tcPr>
            <w:tcW w:type="dxa" w:w="255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Messages, scripts, exclusion contractuelle et contrôle terrain.</w:t>
            </w:r>
          </w:p>
        </w:tc>
        <w:tc>
          <w:tcPr>
            <w:tcW w:type="dxa" w:w="124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Direction</w:t>
            </w:r>
          </w:p>
        </w:tc>
        <w:tc>
          <w:tcPr>
            <w:tcW w:type="dxa" w:w="51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6</w:t>
            </w:r>
          </w:p>
        </w:tc>
      </w:tr>
      <w:tr>
        <w:trPr>
          <w:cantSplit/>
        </w:trPr>
        <w:tc>
          <w:tcPr>
            <w:tcW w:type="dxa" w:w="68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R-03</w:t>
            </w:r>
          </w:p>
        </w:tc>
        <w:tc>
          <w:tcPr>
            <w:tcW w:type="dxa" w:w="119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Marché</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Cycle institutionnel plus long que le runway</w:t>
            </w:r>
          </w:p>
        </w:tc>
        <w:tc>
          <w:tcPr>
            <w:tcW w:type="dxa" w:w="39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4</w:t>
            </w:r>
          </w:p>
        </w:tc>
        <w:tc>
          <w:tcPr>
            <w:tcW w:type="dxa" w:w="39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4</w:t>
            </w:r>
          </w:p>
        </w:tc>
        <w:tc>
          <w:tcPr>
            <w:tcW w:type="dxa" w:w="51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16</w:t>
            </w:r>
          </w:p>
        </w:tc>
        <w:tc>
          <w:tcPr>
            <w:tcW w:type="dxa" w:w="255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Segmenter PME/ONG/associations; jalons; financement par étapes.</w:t>
            </w:r>
          </w:p>
        </w:tc>
        <w:tc>
          <w:tcPr>
            <w:tcW w:type="dxa" w:w="124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Direction</w:t>
            </w:r>
          </w:p>
        </w:tc>
        <w:tc>
          <w:tcPr>
            <w:tcW w:type="dxa" w:w="51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9</w:t>
            </w:r>
          </w:p>
        </w:tc>
      </w:tr>
      <w:tr>
        <w:trPr>
          <w:cantSplit/>
        </w:trPr>
        <w:tc>
          <w:tcPr>
            <w:tcW w:type="dxa" w:w="68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R-04</w:t>
            </w:r>
          </w:p>
        </w:tc>
        <w:tc>
          <w:tcPr>
            <w:tcW w:type="dxa" w:w="119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Marché</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Prix refusé ou valeur insuffisante</w:t>
            </w:r>
          </w:p>
        </w:tc>
        <w:tc>
          <w:tcPr>
            <w:tcW w:type="dxa" w:w="39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4</w:t>
            </w:r>
          </w:p>
        </w:tc>
        <w:tc>
          <w:tcPr>
            <w:tcW w:type="dxa" w:w="39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3</w:t>
            </w:r>
          </w:p>
        </w:tc>
        <w:tc>
          <w:tcPr>
            <w:tcW w:type="dxa" w:w="51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12</w:t>
            </w:r>
          </w:p>
        </w:tc>
        <w:tc>
          <w:tcPr>
            <w:tcW w:type="dxa" w:w="255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Tests de prix, métrique de temps économisé, offre pilote limitée.</w:t>
            </w:r>
          </w:p>
        </w:tc>
        <w:tc>
          <w:tcPr>
            <w:tcW w:type="dxa" w:w="124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Partenariats</w:t>
            </w:r>
          </w:p>
        </w:tc>
        <w:tc>
          <w:tcPr>
            <w:tcW w:type="dxa" w:w="51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6</w:t>
            </w:r>
          </w:p>
        </w:tc>
      </w:tr>
      <w:tr>
        <w:trPr>
          <w:cantSplit/>
        </w:trPr>
        <w:tc>
          <w:tcPr>
            <w:tcW w:type="dxa" w:w="68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R-05</w:t>
            </w:r>
          </w:p>
        </w:tc>
        <w:tc>
          <w:tcPr>
            <w:tcW w:type="dxa" w:w="119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Opérations</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Productivité terrain inférieure au plan</w:t>
            </w:r>
          </w:p>
        </w:tc>
        <w:tc>
          <w:tcPr>
            <w:tcW w:type="dxa" w:w="39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4</w:t>
            </w:r>
          </w:p>
        </w:tc>
        <w:tc>
          <w:tcPr>
            <w:tcW w:type="dxa" w:w="39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3</w:t>
            </w:r>
          </w:p>
        </w:tc>
        <w:tc>
          <w:tcPr>
            <w:tcW w:type="dxa" w:w="51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12</w:t>
            </w:r>
          </w:p>
        </w:tc>
        <w:tc>
          <w:tcPr>
            <w:tcW w:type="dxa" w:w="255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Test de capacité, zones compactes, reprise séparée, ajustement charge.</w:t>
            </w:r>
          </w:p>
        </w:tc>
        <w:tc>
          <w:tcPr>
            <w:tcW w:type="dxa" w:w="124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Opérations</w:t>
            </w:r>
          </w:p>
        </w:tc>
        <w:tc>
          <w:tcPr>
            <w:tcW w:type="dxa" w:w="51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6</w:t>
            </w:r>
          </w:p>
        </w:tc>
      </w:tr>
      <w:tr>
        <w:trPr>
          <w:cantSplit/>
        </w:trPr>
        <w:tc>
          <w:tcPr>
            <w:tcW w:type="dxa" w:w="68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R-06</w:t>
            </w:r>
          </w:p>
        </w:tc>
        <w:tc>
          <w:tcPr>
            <w:tcW w:type="dxa" w:w="119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Opérations</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Dossiers incomplets ou incohérents</w:t>
            </w:r>
          </w:p>
        </w:tc>
        <w:tc>
          <w:tcPr>
            <w:tcW w:type="dxa" w:w="39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4</w:t>
            </w:r>
          </w:p>
        </w:tc>
        <w:tc>
          <w:tcPr>
            <w:tcW w:type="dxa" w:w="39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4</w:t>
            </w:r>
          </w:p>
        </w:tc>
        <w:tc>
          <w:tcPr>
            <w:tcW w:type="dxa" w:w="51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16</w:t>
            </w:r>
          </w:p>
        </w:tc>
        <w:tc>
          <w:tcPr>
            <w:tcW w:type="dxa" w:w="255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SOP, formation, QA &lt; 24 h, échantillonnage et certification agent.</w:t>
            </w:r>
          </w:p>
        </w:tc>
        <w:tc>
          <w:tcPr>
            <w:tcW w:type="dxa" w:w="124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QA</w:t>
            </w:r>
          </w:p>
        </w:tc>
        <w:tc>
          <w:tcPr>
            <w:tcW w:type="dxa" w:w="51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8</w:t>
            </w:r>
          </w:p>
        </w:tc>
      </w:tr>
      <w:tr>
        <w:trPr>
          <w:cantSplit/>
        </w:trPr>
        <w:tc>
          <w:tcPr>
            <w:tcW w:type="dxa" w:w="68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R-07</w:t>
            </w:r>
          </w:p>
        </w:tc>
        <w:tc>
          <w:tcPr>
            <w:tcW w:type="dxa" w:w="119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Opérations</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Doublons et identité mal résolue</w:t>
            </w:r>
          </w:p>
        </w:tc>
        <w:tc>
          <w:tcPr>
            <w:tcW w:type="dxa" w:w="39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3</w:t>
            </w:r>
          </w:p>
        </w:tc>
        <w:tc>
          <w:tcPr>
            <w:tcW w:type="dxa" w:w="39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4</w:t>
            </w:r>
          </w:p>
        </w:tc>
        <w:tc>
          <w:tcPr>
            <w:tcW w:type="dxa" w:w="51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12</w:t>
            </w:r>
          </w:p>
        </w:tc>
        <w:tc>
          <w:tcPr>
            <w:tcW w:type="dxa" w:w="255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Clé de rapprochement, vérification contextuelle et revue humaine.</w:t>
            </w:r>
          </w:p>
        </w:tc>
        <w:tc>
          <w:tcPr>
            <w:tcW w:type="dxa" w:w="124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QA + données</w:t>
            </w:r>
          </w:p>
        </w:tc>
        <w:tc>
          <w:tcPr>
            <w:tcW w:type="dxa" w:w="51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6</w:t>
            </w:r>
          </w:p>
        </w:tc>
      </w:tr>
      <w:tr>
        <w:trPr>
          <w:cantSplit/>
        </w:trPr>
        <w:tc>
          <w:tcPr>
            <w:tcW w:type="dxa" w:w="68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R-08</w:t>
            </w:r>
          </w:p>
        </w:tc>
        <w:tc>
          <w:tcPr>
            <w:tcW w:type="dxa" w:w="119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Sécurité</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Agression, vol ou conflit sur le terrain</w:t>
            </w:r>
          </w:p>
        </w:tc>
        <w:tc>
          <w:tcPr>
            <w:tcW w:type="dxa" w:w="39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3</w:t>
            </w:r>
          </w:p>
        </w:tc>
        <w:tc>
          <w:tcPr>
            <w:tcW w:type="dxa" w:w="39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5</w:t>
            </w:r>
          </w:p>
        </w:tc>
        <w:tc>
          <w:tcPr>
            <w:tcW w:type="dxa" w:w="51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15</w:t>
            </w:r>
          </w:p>
        </w:tc>
        <w:tc>
          <w:tcPr>
            <w:tcW w:type="dxa" w:w="255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Analyse zone, binôme, horaires, check-in, retrait immédiat.</w:t>
            </w:r>
          </w:p>
        </w:tc>
        <w:tc>
          <w:tcPr>
            <w:tcW w:type="dxa" w:w="124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Opérations</w:t>
            </w:r>
          </w:p>
        </w:tc>
        <w:tc>
          <w:tcPr>
            <w:tcW w:type="dxa" w:w="51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8</w:t>
            </w:r>
          </w:p>
        </w:tc>
      </w:tr>
      <w:tr>
        <w:trPr>
          <w:cantSplit/>
        </w:trPr>
        <w:tc>
          <w:tcPr>
            <w:tcW w:type="dxa" w:w="68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R-09</w:t>
            </w:r>
          </w:p>
        </w:tc>
        <w:tc>
          <w:tcPr>
            <w:tcW w:type="dxa" w:w="119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Sécurité</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Pression ou influence indue sur le marchand</w:t>
            </w:r>
          </w:p>
        </w:tc>
        <w:tc>
          <w:tcPr>
            <w:tcW w:type="dxa" w:w="39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3</w:t>
            </w:r>
          </w:p>
        </w:tc>
        <w:tc>
          <w:tcPr>
            <w:tcW w:type="dxa" w:w="39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5</w:t>
            </w:r>
          </w:p>
        </w:tc>
        <w:tc>
          <w:tcPr>
            <w:tcW w:type="dxa" w:w="51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15</w:t>
            </w:r>
          </w:p>
        </w:tc>
        <w:tc>
          <w:tcPr>
            <w:tcW w:type="dxa" w:w="255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Consentement reformulé, audit discret, sanctions et canal de plainte.</w:t>
            </w:r>
          </w:p>
        </w:tc>
        <w:tc>
          <w:tcPr>
            <w:tcW w:type="dxa" w:w="124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Opérations + données</w:t>
            </w:r>
          </w:p>
        </w:tc>
        <w:tc>
          <w:tcPr>
            <w:tcW w:type="dxa" w:w="51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6</w:t>
            </w:r>
          </w:p>
        </w:tc>
      </w:tr>
      <w:tr>
        <w:trPr>
          <w:cantSplit/>
        </w:trPr>
        <w:tc>
          <w:tcPr>
            <w:tcW w:type="dxa" w:w="68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R-10</w:t>
            </w:r>
          </w:p>
        </w:tc>
        <w:tc>
          <w:tcPr>
            <w:tcW w:type="dxa" w:w="119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Données</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Collecte d’une donnée interdite</w:t>
            </w:r>
          </w:p>
        </w:tc>
        <w:tc>
          <w:tcPr>
            <w:tcW w:type="dxa" w:w="39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3</w:t>
            </w:r>
          </w:p>
        </w:tc>
        <w:tc>
          <w:tcPr>
            <w:tcW w:type="dxa" w:w="39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5</w:t>
            </w:r>
          </w:p>
        </w:tc>
        <w:tc>
          <w:tcPr>
            <w:tcW w:type="dxa" w:w="51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15</w:t>
            </w:r>
          </w:p>
        </w:tc>
        <w:tc>
          <w:tcPr>
            <w:tcW w:type="dxa" w:w="255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Formulaires minimaux, masquage, formation, contrôle automatique et incident.</w:t>
            </w:r>
          </w:p>
        </w:tc>
        <w:tc>
          <w:tcPr>
            <w:tcW w:type="dxa" w:w="124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Responsable données</w:t>
            </w:r>
          </w:p>
        </w:tc>
        <w:tc>
          <w:tcPr>
            <w:tcW w:type="dxa" w:w="51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5</w:t>
            </w:r>
          </w:p>
        </w:tc>
      </w:tr>
      <w:tr>
        <w:trPr>
          <w:cantSplit/>
        </w:trPr>
        <w:tc>
          <w:tcPr>
            <w:tcW w:type="dxa" w:w="68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R-11</w:t>
            </w:r>
          </w:p>
        </w:tc>
        <w:tc>
          <w:tcPr>
            <w:tcW w:type="dxa" w:w="119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Données</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Accès ou partage non autorisé</w:t>
            </w:r>
          </w:p>
        </w:tc>
        <w:tc>
          <w:tcPr>
            <w:tcW w:type="dxa" w:w="39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3</w:t>
            </w:r>
          </w:p>
        </w:tc>
        <w:tc>
          <w:tcPr>
            <w:tcW w:type="dxa" w:w="39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5</w:t>
            </w:r>
          </w:p>
        </w:tc>
        <w:tc>
          <w:tcPr>
            <w:tcW w:type="dxa" w:w="51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15</w:t>
            </w:r>
          </w:p>
        </w:tc>
        <w:tc>
          <w:tcPr>
            <w:tcW w:type="dxa" w:w="255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Moindre privilège, double validation, expiration, journal et revue.</w:t>
            </w:r>
          </w:p>
        </w:tc>
        <w:tc>
          <w:tcPr>
            <w:tcW w:type="dxa" w:w="124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Responsable données</w:t>
            </w:r>
          </w:p>
        </w:tc>
        <w:tc>
          <w:tcPr>
            <w:tcW w:type="dxa" w:w="51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6</w:t>
            </w:r>
          </w:p>
        </w:tc>
      </w:tr>
      <w:tr>
        <w:trPr>
          <w:cantSplit/>
        </w:trPr>
        <w:tc>
          <w:tcPr>
            <w:tcW w:type="dxa" w:w="68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R-12</w:t>
            </w:r>
          </w:p>
        </w:tc>
        <w:tc>
          <w:tcPr>
            <w:tcW w:type="dxa" w:w="119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Données</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Perte d’appareil ou support</w:t>
            </w:r>
          </w:p>
        </w:tc>
        <w:tc>
          <w:tcPr>
            <w:tcW w:type="dxa" w:w="39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3</w:t>
            </w:r>
          </w:p>
        </w:tc>
        <w:tc>
          <w:tcPr>
            <w:tcW w:type="dxa" w:w="39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5</w:t>
            </w:r>
          </w:p>
        </w:tc>
        <w:tc>
          <w:tcPr>
            <w:tcW w:type="dxa" w:w="51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15</w:t>
            </w:r>
          </w:p>
        </w:tc>
        <w:tc>
          <w:tcPr>
            <w:tcW w:type="dxa" w:w="255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Verrouillage, chiffrement, inventaire, effacement et stockage temporaire limité.</w:t>
            </w:r>
          </w:p>
        </w:tc>
        <w:tc>
          <w:tcPr>
            <w:tcW w:type="dxa" w:w="124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Technologie</w:t>
            </w:r>
          </w:p>
        </w:tc>
        <w:tc>
          <w:tcPr>
            <w:tcW w:type="dxa" w:w="51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6</w:t>
            </w:r>
          </w:p>
        </w:tc>
      </w:tr>
      <w:tr>
        <w:trPr>
          <w:cantSplit/>
        </w:trPr>
        <w:tc>
          <w:tcPr>
            <w:tcW w:type="dxa" w:w="68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R-13</w:t>
            </w:r>
          </w:p>
        </w:tc>
        <w:tc>
          <w:tcPr>
            <w:tcW w:type="dxa" w:w="119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Données</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Consentement introuvable ou ambigu</w:t>
            </w:r>
          </w:p>
        </w:tc>
        <w:tc>
          <w:tcPr>
            <w:tcW w:type="dxa" w:w="39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4</w:t>
            </w:r>
          </w:p>
        </w:tc>
        <w:tc>
          <w:tcPr>
            <w:tcW w:type="dxa" w:w="39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5</w:t>
            </w:r>
          </w:p>
        </w:tc>
        <w:tc>
          <w:tcPr>
            <w:tcW w:type="dxa" w:w="51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20</w:t>
            </w:r>
          </w:p>
        </w:tc>
        <w:tc>
          <w:tcPr>
            <w:tcW w:type="dxa" w:w="255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Trace versionnée obligatoire; blocage automatique du dossier.</w:t>
            </w:r>
          </w:p>
        </w:tc>
        <w:tc>
          <w:tcPr>
            <w:tcW w:type="dxa" w:w="124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Responsable données</w:t>
            </w:r>
          </w:p>
        </w:tc>
        <w:tc>
          <w:tcPr>
            <w:tcW w:type="dxa" w:w="51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5</w:t>
            </w:r>
          </w:p>
        </w:tc>
      </w:tr>
      <w:tr>
        <w:trPr>
          <w:cantSplit/>
        </w:trPr>
        <w:tc>
          <w:tcPr>
            <w:tcW w:type="dxa" w:w="68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R-14</w:t>
            </w:r>
          </w:p>
        </w:tc>
        <w:tc>
          <w:tcPr>
            <w:tcW w:type="dxa" w:w="119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Données</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Conservation excessive</w:t>
            </w:r>
          </w:p>
        </w:tc>
        <w:tc>
          <w:tcPr>
            <w:tcW w:type="dxa" w:w="39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4</w:t>
            </w:r>
          </w:p>
        </w:tc>
        <w:tc>
          <w:tcPr>
            <w:tcW w:type="dxa" w:w="39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4</w:t>
            </w:r>
          </w:p>
        </w:tc>
        <w:tc>
          <w:tcPr>
            <w:tcW w:type="dxa" w:w="51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16</w:t>
            </w:r>
          </w:p>
        </w:tc>
        <w:tc>
          <w:tcPr>
            <w:tcW w:type="dxa" w:w="255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Échéances, revue mensuelle, suppression testée et certificat.</w:t>
            </w:r>
          </w:p>
        </w:tc>
        <w:tc>
          <w:tcPr>
            <w:tcW w:type="dxa" w:w="124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Responsable données</w:t>
            </w:r>
          </w:p>
        </w:tc>
        <w:tc>
          <w:tcPr>
            <w:tcW w:type="dxa" w:w="51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6</w:t>
            </w:r>
          </w:p>
        </w:tc>
      </w:tr>
      <w:tr>
        <w:trPr>
          <w:cantSplit/>
        </w:trPr>
        <w:tc>
          <w:tcPr>
            <w:tcW w:type="dxa" w:w="68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R-15</w:t>
            </w:r>
          </w:p>
        </w:tc>
        <w:tc>
          <w:tcPr>
            <w:tcW w:type="dxa" w:w="119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Juridique</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Entité ou autorisation non prête</w:t>
            </w:r>
          </w:p>
        </w:tc>
        <w:tc>
          <w:tcPr>
            <w:tcW w:type="dxa" w:w="39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4</w:t>
            </w:r>
          </w:p>
        </w:tc>
        <w:tc>
          <w:tcPr>
            <w:tcW w:type="dxa" w:w="39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5</w:t>
            </w:r>
          </w:p>
        </w:tc>
        <w:tc>
          <w:tcPr>
            <w:tcW w:type="dxa" w:w="51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20</w:t>
            </w:r>
          </w:p>
        </w:tc>
        <w:tc>
          <w:tcPr>
            <w:tcW w:type="dxa" w:w="255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Gate de lancement juridique; aucun traitement réel avant validation.</w:t>
            </w:r>
          </w:p>
        </w:tc>
        <w:tc>
          <w:tcPr>
            <w:tcW w:type="dxa" w:w="124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Direction + conseil</w:t>
            </w:r>
          </w:p>
        </w:tc>
        <w:tc>
          <w:tcPr>
            <w:tcW w:type="dxa" w:w="51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5</w:t>
            </w:r>
          </w:p>
        </w:tc>
      </w:tr>
      <w:tr>
        <w:trPr>
          <w:cantSplit/>
        </w:trPr>
        <w:tc>
          <w:tcPr>
            <w:tcW w:type="dxa" w:w="68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R-16</w:t>
            </w:r>
          </w:p>
        </w:tc>
        <w:tc>
          <w:tcPr>
            <w:tcW w:type="dxa" w:w="119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Juridique</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Contrat partenaire imprécis</w:t>
            </w:r>
          </w:p>
        </w:tc>
        <w:tc>
          <w:tcPr>
            <w:tcW w:type="dxa" w:w="39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3</w:t>
            </w:r>
          </w:p>
        </w:tc>
        <w:tc>
          <w:tcPr>
            <w:tcW w:type="dxa" w:w="39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4</w:t>
            </w:r>
          </w:p>
        </w:tc>
        <w:tc>
          <w:tcPr>
            <w:tcW w:type="dxa" w:w="51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12</w:t>
            </w:r>
          </w:p>
        </w:tc>
        <w:tc>
          <w:tcPr>
            <w:tcW w:type="dxa" w:w="255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Finalité, données, accès, sécurité, sous-traitance, retrait et responsabilité.</w:t>
            </w:r>
          </w:p>
        </w:tc>
        <w:tc>
          <w:tcPr>
            <w:tcW w:type="dxa" w:w="124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Juridique</w:t>
            </w:r>
          </w:p>
        </w:tc>
        <w:tc>
          <w:tcPr>
            <w:tcW w:type="dxa" w:w="51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6</w:t>
            </w:r>
          </w:p>
        </w:tc>
      </w:tr>
      <w:tr>
        <w:trPr>
          <w:cantSplit/>
        </w:trPr>
        <w:tc>
          <w:tcPr>
            <w:tcW w:type="dxa" w:w="68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R-17</w:t>
            </w:r>
          </w:p>
        </w:tc>
        <w:tc>
          <w:tcPr>
            <w:tcW w:type="dxa" w:w="119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Réputation</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Allégation de surveillance ou vente de données</w:t>
            </w:r>
          </w:p>
        </w:tc>
        <w:tc>
          <w:tcPr>
            <w:tcW w:type="dxa" w:w="39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3</w:t>
            </w:r>
          </w:p>
        </w:tc>
        <w:tc>
          <w:tcPr>
            <w:tcW w:type="dxa" w:w="39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5</w:t>
            </w:r>
          </w:p>
        </w:tc>
        <w:tc>
          <w:tcPr>
            <w:tcW w:type="dxa" w:w="51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15</w:t>
            </w:r>
          </w:p>
        </w:tc>
        <w:tc>
          <w:tcPr>
            <w:tcW w:type="dxa" w:w="255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Transparence, gouvernance, réponse publique préparée et audit.</w:t>
            </w:r>
          </w:p>
        </w:tc>
        <w:tc>
          <w:tcPr>
            <w:tcW w:type="dxa" w:w="124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Direction</w:t>
            </w:r>
          </w:p>
        </w:tc>
        <w:tc>
          <w:tcPr>
            <w:tcW w:type="dxa" w:w="51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8</w:t>
            </w:r>
          </w:p>
        </w:tc>
      </w:tr>
      <w:tr>
        <w:trPr>
          <w:cantSplit/>
        </w:trPr>
        <w:tc>
          <w:tcPr>
            <w:tcW w:type="dxa" w:w="68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R-18</w:t>
            </w:r>
          </w:p>
        </w:tc>
        <w:tc>
          <w:tcPr>
            <w:tcW w:type="dxa" w:w="119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Fraude</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Fausse preuve ou collusion agent-marchand</w:t>
            </w:r>
          </w:p>
        </w:tc>
        <w:tc>
          <w:tcPr>
            <w:tcW w:type="dxa" w:w="39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3</w:t>
            </w:r>
          </w:p>
        </w:tc>
        <w:tc>
          <w:tcPr>
            <w:tcW w:type="dxa" w:w="39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5</w:t>
            </w:r>
          </w:p>
        </w:tc>
        <w:tc>
          <w:tcPr>
            <w:tcW w:type="dxa" w:w="51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15</w:t>
            </w:r>
          </w:p>
        </w:tc>
        <w:tc>
          <w:tcPr>
            <w:tcW w:type="dxa" w:w="255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Séparation des tâches, appels de contrôle, géo/date, sanctions et analyse anomalies.</w:t>
            </w:r>
          </w:p>
        </w:tc>
        <w:tc>
          <w:tcPr>
            <w:tcW w:type="dxa" w:w="124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QA + opérations</w:t>
            </w:r>
          </w:p>
        </w:tc>
        <w:tc>
          <w:tcPr>
            <w:tcW w:type="dxa" w:w="51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8</w:t>
            </w:r>
          </w:p>
        </w:tc>
      </w:tr>
      <w:tr>
        <w:trPr>
          <w:cantSplit/>
        </w:trPr>
        <w:tc>
          <w:tcPr>
            <w:tcW w:type="dxa" w:w="68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R-19</w:t>
            </w:r>
          </w:p>
        </w:tc>
        <w:tc>
          <w:tcPr>
            <w:tcW w:type="dxa" w:w="119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Finance</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Sous-estimation du coût complet</w:t>
            </w:r>
          </w:p>
        </w:tc>
        <w:tc>
          <w:tcPr>
            <w:tcW w:type="dxa" w:w="39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5</w:t>
            </w:r>
          </w:p>
        </w:tc>
        <w:tc>
          <w:tcPr>
            <w:tcW w:type="dxa" w:w="39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4</w:t>
            </w:r>
          </w:p>
        </w:tc>
        <w:tc>
          <w:tcPr>
            <w:tcW w:type="dxa" w:w="51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20</w:t>
            </w:r>
          </w:p>
        </w:tc>
        <w:tc>
          <w:tcPr>
            <w:tcW w:type="dxa" w:w="255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Modèle 36 mois, coût de direction/tech/conformité inclus, revue mensuelle.</w:t>
            </w:r>
          </w:p>
        </w:tc>
        <w:tc>
          <w:tcPr>
            <w:tcW w:type="dxa" w:w="124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Finance</w:t>
            </w:r>
          </w:p>
        </w:tc>
        <w:tc>
          <w:tcPr>
            <w:tcW w:type="dxa" w:w="51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10</w:t>
            </w:r>
          </w:p>
        </w:tc>
      </w:tr>
      <w:tr>
        <w:trPr>
          <w:cantSplit/>
        </w:trPr>
        <w:tc>
          <w:tcPr>
            <w:tcW w:type="dxa" w:w="68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R-20</w:t>
            </w:r>
          </w:p>
        </w:tc>
        <w:tc>
          <w:tcPr>
            <w:tcW w:type="dxa" w:w="119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Finance</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Décaissement avant financement sécurisé</w:t>
            </w:r>
          </w:p>
        </w:tc>
        <w:tc>
          <w:tcPr>
            <w:tcW w:type="dxa" w:w="39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4</w:t>
            </w:r>
          </w:p>
        </w:tc>
        <w:tc>
          <w:tcPr>
            <w:tcW w:type="dxa" w:w="39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5</w:t>
            </w:r>
          </w:p>
        </w:tc>
        <w:tc>
          <w:tcPr>
            <w:tcW w:type="dxa" w:w="51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20</w:t>
            </w:r>
          </w:p>
        </w:tc>
        <w:tc>
          <w:tcPr>
            <w:tcW w:type="dxa" w:w="255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Engagements plafonnés, budget par gate, réserve et plan de trésorerie.</w:t>
            </w:r>
          </w:p>
        </w:tc>
        <w:tc>
          <w:tcPr>
            <w:tcW w:type="dxa" w:w="124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Direction + finance</w:t>
            </w:r>
          </w:p>
        </w:tc>
        <w:tc>
          <w:tcPr>
            <w:tcW w:type="dxa" w:w="51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8</w:t>
            </w:r>
          </w:p>
        </w:tc>
      </w:tr>
      <w:tr>
        <w:trPr>
          <w:cantSplit/>
        </w:trPr>
        <w:tc>
          <w:tcPr>
            <w:tcW w:type="dxa" w:w="68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R-21</w:t>
            </w:r>
          </w:p>
        </w:tc>
        <w:tc>
          <w:tcPr>
            <w:tcW w:type="dxa" w:w="119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Finance</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Encaissement tardif des partenaires</w:t>
            </w:r>
          </w:p>
        </w:tc>
        <w:tc>
          <w:tcPr>
            <w:tcW w:type="dxa" w:w="39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4</w:t>
            </w:r>
          </w:p>
        </w:tc>
        <w:tc>
          <w:tcPr>
            <w:tcW w:type="dxa" w:w="39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4</w:t>
            </w:r>
          </w:p>
        </w:tc>
        <w:tc>
          <w:tcPr>
            <w:tcW w:type="dxa" w:w="51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16</w:t>
            </w:r>
          </w:p>
        </w:tc>
        <w:tc>
          <w:tcPr>
            <w:tcW w:type="dxa" w:w="255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Acompte, échéancier, relance, limite d’exposition et diversification.</w:t>
            </w:r>
          </w:p>
        </w:tc>
        <w:tc>
          <w:tcPr>
            <w:tcW w:type="dxa" w:w="124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Finance</w:t>
            </w:r>
          </w:p>
        </w:tc>
        <w:tc>
          <w:tcPr>
            <w:tcW w:type="dxa" w:w="51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9</w:t>
            </w:r>
          </w:p>
        </w:tc>
      </w:tr>
      <w:tr>
        <w:trPr>
          <w:cantSplit/>
        </w:trPr>
        <w:tc>
          <w:tcPr>
            <w:tcW w:type="dxa" w:w="68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R-22</w:t>
            </w:r>
          </w:p>
        </w:tc>
        <w:tc>
          <w:tcPr>
            <w:tcW w:type="dxa" w:w="119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Technologie</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Produit trop complexe ou prématuré</w:t>
            </w:r>
          </w:p>
        </w:tc>
        <w:tc>
          <w:tcPr>
            <w:tcW w:type="dxa" w:w="39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4</w:t>
            </w:r>
          </w:p>
        </w:tc>
        <w:tc>
          <w:tcPr>
            <w:tcW w:type="dxa" w:w="39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4</w:t>
            </w:r>
          </w:p>
        </w:tc>
        <w:tc>
          <w:tcPr>
            <w:tcW w:type="dxa" w:w="51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16</w:t>
            </w:r>
          </w:p>
        </w:tc>
        <w:tc>
          <w:tcPr>
            <w:tcW w:type="dxa" w:w="255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No-code contrôlé au pilote, backlog priorisé par preuve de valeur.</w:t>
            </w:r>
          </w:p>
        </w:tc>
        <w:tc>
          <w:tcPr>
            <w:tcW w:type="dxa" w:w="124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Produit</w:t>
            </w:r>
          </w:p>
        </w:tc>
        <w:tc>
          <w:tcPr>
            <w:tcW w:type="dxa" w:w="51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7</w:t>
            </w:r>
          </w:p>
        </w:tc>
      </w:tr>
      <w:tr>
        <w:trPr>
          <w:cantSplit/>
        </w:trPr>
        <w:tc>
          <w:tcPr>
            <w:tcW w:type="dxa" w:w="68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R-23</w:t>
            </w:r>
          </w:p>
        </w:tc>
        <w:tc>
          <w:tcPr>
            <w:tcW w:type="dxa" w:w="119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Technologie</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Indisponibilité ou perte d’intégrité</w:t>
            </w:r>
          </w:p>
        </w:tc>
        <w:tc>
          <w:tcPr>
            <w:tcW w:type="dxa" w:w="39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3</w:t>
            </w:r>
          </w:p>
        </w:tc>
        <w:tc>
          <w:tcPr>
            <w:tcW w:type="dxa" w:w="39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5</w:t>
            </w:r>
          </w:p>
        </w:tc>
        <w:tc>
          <w:tcPr>
            <w:tcW w:type="dxa" w:w="51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15</w:t>
            </w:r>
          </w:p>
        </w:tc>
        <w:tc>
          <w:tcPr>
            <w:tcW w:type="dxa" w:w="255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Sauvegarde, test de restauration, journal de changement et mode dégradé.</w:t>
            </w:r>
          </w:p>
        </w:tc>
        <w:tc>
          <w:tcPr>
            <w:tcW w:type="dxa" w:w="124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Technologie</w:t>
            </w:r>
          </w:p>
        </w:tc>
        <w:tc>
          <w:tcPr>
            <w:tcW w:type="dxa" w:w="51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2"/>
              </w:rPr>
              <w:t>7</w:t>
            </w:r>
          </w:p>
        </w:tc>
      </w:tr>
      <w:tr>
        <w:trPr>
          <w:cantSplit/>
        </w:trPr>
        <w:tc>
          <w:tcPr>
            <w:tcW w:type="dxa" w:w="68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R-24</w:t>
            </w:r>
          </w:p>
        </w:tc>
        <w:tc>
          <w:tcPr>
            <w:tcW w:type="dxa" w:w="119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Gouvernance</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Dépendance à une personne clé</w:t>
            </w:r>
          </w:p>
        </w:tc>
        <w:tc>
          <w:tcPr>
            <w:tcW w:type="dxa" w:w="39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4</w:t>
            </w:r>
          </w:p>
        </w:tc>
        <w:tc>
          <w:tcPr>
            <w:tcW w:type="dxa" w:w="39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4</w:t>
            </w:r>
          </w:p>
        </w:tc>
        <w:tc>
          <w:tcPr>
            <w:tcW w:type="dxa" w:w="51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16</w:t>
            </w:r>
          </w:p>
        </w:tc>
        <w:tc>
          <w:tcPr>
            <w:tcW w:type="dxa" w:w="255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Délégation, procédures, accès de secours et plan de relève.</w:t>
            </w:r>
          </w:p>
        </w:tc>
        <w:tc>
          <w:tcPr>
            <w:tcW w:type="dxa" w:w="124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Direction</w:t>
            </w:r>
          </w:p>
        </w:tc>
        <w:tc>
          <w:tcPr>
            <w:tcW w:type="dxa" w:w="51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2"/>
              </w:rPr>
              <w:t>9</w:t>
            </w:r>
          </w:p>
        </w:tc>
      </w:tr>
    </w:tbl>
    <w:p>
      <w:pPr>
        <w:spacing w:after="40"/>
      </w:pPr>
    </w:p>
    <w:p>
      <w:pPr>
        <w:pStyle w:val="Heading1"/>
        <w:keepNext/>
        <w:pageBreakBefore w:val="0"/>
      </w:pPr>
      <w:r>
        <w:t>4. Risques critiques avant lancement</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232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Risque</w:t>
            </w:r>
          </w:p>
        </w:tc>
        <w:tc>
          <w:tcPr>
            <w:tcW w:type="dxa" w:w="4082"/>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Condition de non-lancement</w:t>
            </w:r>
          </w:p>
        </w:tc>
        <w:tc>
          <w:tcPr>
            <w:tcW w:type="dxa" w:w="294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Preuve pour lever le blocage</w:t>
            </w:r>
          </w:p>
        </w:tc>
      </w:tr>
      <w:tr>
        <w:trPr>
          <w:cantSplit/>
        </w:trPr>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Identité juridique et rôle de traitement</w:t>
            </w:r>
          </w:p>
        </w:tc>
        <w:tc>
          <w:tcPr>
            <w:tcW w:type="dxa" w:w="408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Porteur légal, signataire ou responsabilité indéfinis.</w:t>
            </w:r>
          </w:p>
        </w:tc>
        <w:tc>
          <w:tcPr>
            <w:tcW w:type="dxa" w:w="294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Documents de l’entité et avis juridique.</w:t>
            </w:r>
          </w:p>
        </w:tc>
      </w:tr>
      <w:tr>
        <w:trPr>
          <w:cantSplit/>
        </w:trPr>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Consentement</w:t>
            </w:r>
          </w:p>
        </w:tc>
        <w:tc>
          <w:tcPr>
            <w:tcW w:type="dxa" w:w="408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Formulaire non testé ou choix impossibles à tracer.</w:t>
            </w:r>
          </w:p>
        </w:tc>
        <w:tc>
          <w:tcPr>
            <w:tcW w:type="dxa" w:w="294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Test utilisateur, version approuvée et journal fonctionnel.</w:t>
            </w:r>
          </w:p>
        </w:tc>
      </w:tr>
      <w:tr>
        <w:trPr>
          <w:cantSplit/>
        </w:trPr>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Sécurité</w:t>
            </w:r>
          </w:p>
        </w:tc>
        <w:tc>
          <w:tcPr>
            <w:tcW w:type="dxa" w:w="408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Absence de comptes individuels, sauvegarde ou procédure d’incident.</w:t>
            </w:r>
          </w:p>
        </w:tc>
        <w:tc>
          <w:tcPr>
            <w:tcW w:type="dxa" w:w="294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Test de contrôle et exercice de réponse.</w:t>
            </w:r>
          </w:p>
        </w:tc>
      </w:tr>
      <w:tr>
        <w:trPr>
          <w:cantSplit/>
        </w:trPr>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Terrain</w:t>
            </w:r>
          </w:p>
        </w:tc>
        <w:tc>
          <w:tcPr>
            <w:tcW w:type="dxa" w:w="408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Zone non évaluée ou dispositif de sécurité indisponible.</w:t>
            </w:r>
          </w:p>
        </w:tc>
        <w:tc>
          <w:tcPr>
            <w:tcW w:type="dxa" w:w="294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Fiche de zone et check-in opérationnel.</w:t>
            </w:r>
          </w:p>
        </w:tc>
      </w:tr>
      <w:tr>
        <w:trPr>
          <w:cantSplit/>
        </w:trPr>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Données interdites</w:t>
            </w:r>
          </w:p>
        </w:tc>
        <w:tc>
          <w:tcPr>
            <w:tcW w:type="dxa" w:w="408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Outil ou script demande des secrets, soldes ou accès complet.</w:t>
            </w:r>
          </w:p>
        </w:tc>
        <w:tc>
          <w:tcPr>
            <w:tcW w:type="dxa" w:w="294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Suppression du champ et contrôle QA.</w:t>
            </w:r>
          </w:p>
        </w:tc>
      </w:tr>
      <w:tr>
        <w:trPr>
          <w:cantSplit/>
        </w:trPr>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Partenaire</w:t>
            </w:r>
          </w:p>
        </w:tc>
        <w:tc>
          <w:tcPr>
            <w:tcW w:type="dxa" w:w="408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Demande de dossier brut, finalité vague ou redistribution.</w:t>
            </w:r>
          </w:p>
        </w:tc>
        <w:tc>
          <w:tcPr>
            <w:tcW w:type="dxa" w:w="294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Vue filtrée, clause et consentement précis.</w:t>
            </w:r>
          </w:p>
        </w:tc>
      </w:tr>
      <w:tr>
        <w:trPr>
          <w:cantSplit/>
        </w:trPr>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Trésorerie</w:t>
            </w:r>
          </w:p>
        </w:tc>
        <w:tc>
          <w:tcPr>
            <w:tcW w:type="dxa" w:w="408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Financement du gate non sécurisé.</w:t>
            </w:r>
          </w:p>
        </w:tc>
        <w:tc>
          <w:tcPr>
            <w:tcW w:type="dxa" w:w="294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Fonds disponibles ou dépenses réduites.</w:t>
            </w:r>
          </w:p>
        </w:tc>
      </w:tr>
    </w:tbl>
    <w:p>
      <w:pPr>
        <w:spacing w:after="40"/>
      </w:pPr>
    </w:p>
    <w:p>
      <w:pPr>
        <w:pStyle w:val="Heading1"/>
        <w:keepNext/>
        <w:pageBreakBefore w:val="0"/>
      </w:pPr>
      <w:r>
        <w:t>5. Indicateurs d’alerte</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289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KRI</w:t>
            </w:r>
          </w:p>
        </w:tc>
        <w:tc>
          <w:tcPr>
            <w:tcW w:type="dxa" w:w="215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Vert</w:t>
            </w:r>
          </w:p>
        </w:tc>
        <w:tc>
          <w:tcPr>
            <w:tcW w:type="dxa" w:w="215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Orange</w:t>
            </w:r>
          </w:p>
        </w:tc>
        <w:tc>
          <w:tcPr>
            <w:tcW w:type="dxa" w:w="215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Rouge</w:t>
            </w:r>
          </w:p>
        </w:tc>
      </w:tr>
      <w:tr>
        <w:trPr>
          <w:cantSplit/>
        </w:trPr>
        <w:tc>
          <w:tcPr>
            <w:tcW w:type="dxa" w:w="289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Consentements valides</w:t>
            </w:r>
          </w:p>
        </w:tc>
        <w:tc>
          <w:tcPr>
            <w:tcW w:type="dxa" w:w="21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100 %</w:t>
            </w:r>
          </w:p>
        </w:tc>
        <w:tc>
          <w:tcPr>
            <w:tcW w:type="dxa" w:w="21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99-99,9 %</w:t>
            </w:r>
          </w:p>
        </w:tc>
        <w:tc>
          <w:tcPr>
            <w:tcW w:type="dxa" w:w="21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&lt; 99 % ou cas ambigu</w:t>
            </w:r>
          </w:p>
        </w:tc>
      </w:tr>
      <w:tr>
        <w:trPr>
          <w:cantSplit/>
        </w:trPr>
        <w:tc>
          <w:tcPr>
            <w:tcW w:type="dxa" w:w="289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Taux de reprise QA</w:t>
            </w:r>
          </w:p>
        </w:tc>
        <w:tc>
          <w:tcPr>
            <w:tcW w:type="dxa" w:w="215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&lt; 10 %</w:t>
            </w:r>
          </w:p>
        </w:tc>
        <w:tc>
          <w:tcPr>
            <w:tcW w:type="dxa" w:w="215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10-20 %</w:t>
            </w:r>
          </w:p>
        </w:tc>
        <w:tc>
          <w:tcPr>
            <w:tcW w:type="dxa" w:w="215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&gt; 20 %</w:t>
            </w:r>
          </w:p>
        </w:tc>
      </w:tr>
      <w:tr>
        <w:trPr>
          <w:cantSplit/>
        </w:trPr>
        <w:tc>
          <w:tcPr>
            <w:tcW w:type="dxa" w:w="289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Données interdites</w:t>
            </w:r>
          </w:p>
        </w:tc>
        <w:tc>
          <w:tcPr>
            <w:tcW w:type="dxa" w:w="21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0</w:t>
            </w:r>
          </w:p>
        </w:tc>
        <w:tc>
          <w:tcPr>
            <w:tcW w:type="dxa" w:w="21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1 contenue</w:t>
            </w:r>
          </w:p>
        </w:tc>
        <w:tc>
          <w:tcPr>
            <w:tcW w:type="dxa" w:w="21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Récidive ou exposition</w:t>
            </w:r>
          </w:p>
        </w:tc>
      </w:tr>
      <w:tr>
        <w:trPr>
          <w:cantSplit/>
        </w:trPr>
        <w:tc>
          <w:tcPr>
            <w:tcW w:type="dxa" w:w="289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Partages expirés encore actifs</w:t>
            </w:r>
          </w:p>
        </w:tc>
        <w:tc>
          <w:tcPr>
            <w:tcW w:type="dxa" w:w="215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0</w:t>
            </w:r>
          </w:p>
        </w:tc>
        <w:tc>
          <w:tcPr>
            <w:tcW w:type="dxa" w:w="215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1 corrigé immédiatement</w:t>
            </w:r>
          </w:p>
        </w:tc>
        <w:tc>
          <w:tcPr>
            <w:tcW w:type="dxa" w:w="215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&gt; 1 ou accès externe</w:t>
            </w:r>
          </w:p>
        </w:tc>
      </w:tr>
      <w:tr>
        <w:trPr>
          <w:cantSplit/>
        </w:trPr>
        <w:tc>
          <w:tcPr>
            <w:tcW w:type="dxa" w:w="289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Incidents terrain</w:t>
            </w:r>
          </w:p>
        </w:tc>
        <w:tc>
          <w:tcPr>
            <w:tcW w:type="dxa" w:w="21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Aucun grave</w:t>
            </w:r>
          </w:p>
        </w:tc>
        <w:tc>
          <w:tcPr>
            <w:tcW w:type="dxa" w:w="21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Signal faible récurrent</w:t>
            </w:r>
          </w:p>
        </w:tc>
        <w:tc>
          <w:tcPr>
            <w:tcW w:type="dxa" w:w="21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Blessure, menace ou vol</w:t>
            </w:r>
          </w:p>
        </w:tc>
      </w:tr>
      <w:tr>
        <w:trPr>
          <w:cantSplit/>
        </w:trPr>
        <w:tc>
          <w:tcPr>
            <w:tcW w:type="dxa" w:w="289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Runway disponible</w:t>
            </w:r>
          </w:p>
        </w:tc>
        <w:tc>
          <w:tcPr>
            <w:tcW w:type="dxa" w:w="215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&gt; 6 mois</w:t>
            </w:r>
          </w:p>
        </w:tc>
        <w:tc>
          <w:tcPr>
            <w:tcW w:type="dxa" w:w="215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3-6 mois</w:t>
            </w:r>
          </w:p>
        </w:tc>
        <w:tc>
          <w:tcPr>
            <w:tcW w:type="dxa" w:w="215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&lt; 3 mois</w:t>
            </w:r>
          </w:p>
        </w:tc>
      </w:tr>
      <w:tr>
        <w:trPr>
          <w:cantSplit/>
        </w:trPr>
        <w:tc>
          <w:tcPr>
            <w:tcW w:type="dxa" w:w="289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Concentration revenus</w:t>
            </w:r>
          </w:p>
        </w:tc>
        <w:tc>
          <w:tcPr>
            <w:tcW w:type="dxa" w:w="21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&lt; 35 % par client</w:t>
            </w:r>
          </w:p>
        </w:tc>
        <w:tc>
          <w:tcPr>
            <w:tcW w:type="dxa" w:w="21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35-50 %</w:t>
            </w:r>
          </w:p>
        </w:tc>
        <w:tc>
          <w:tcPr>
            <w:tcW w:type="dxa" w:w="21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&gt; 50 %</w:t>
            </w:r>
          </w:p>
        </w:tc>
      </w:tr>
      <w:tr>
        <w:trPr>
          <w:cantSplit/>
        </w:trPr>
        <w:tc>
          <w:tcPr>
            <w:tcW w:type="dxa" w:w="289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Écart coût par dossier</w:t>
            </w:r>
          </w:p>
        </w:tc>
        <w:tc>
          <w:tcPr>
            <w:tcW w:type="dxa" w:w="215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&lt; 10 % du plan</w:t>
            </w:r>
          </w:p>
        </w:tc>
        <w:tc>
          <w:tcPr>
            <w:tcW w:type="dxa" w:w="215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10-25 %</w:t>
            </w:r>
          </w:p>
        </w:tc>
        <w:tc>
          <w:tcPr>
            <w:tcW w:type="dxa" w:w="215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&gt; 25 %</w:t>
            </w:r>
          </w:p>
        </w:tc>
      </w:tr>
      <w:tr>
        <w:trPr>
          <w:cantSplit/>
        </w:trPr>
        <w:tc>
          <w:tcPr>
            <w:tcW w:type="dxa" w:w="289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Disponibilité / intégrité</w:t>
            </w:r>
          </w:p>
        </w:tc>
        <w:tc>
          <w:tcPr>
            <w:tcW w:type="dxa" w:w="21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Aucun incident majeur</w:t>
            </w:r>
          </w:p>
        </w:tc>
        <w:tc>
          <w:tcPr>
            <w:tcW w:type="dxa" w:w="21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Dégradation limitée</w:t>
            </w:r>
          </w:p>
        </w:tc>
        <w:tc>
          <w:tcPr>
            <w:tcW w:type="dxa" w:w="21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Perte ou corruption</w:t>
            </w:r>
          </w:p>
        </w:tc>
      </w:tr>
    </w:tbl>
    <w:p>
      <w:pPr>
        <w:spacing w:after="40"/>
      </w:pPr>
    </w:p>
    <w:p>
      <w:pPr>
        <w:pStyle w:val="Heading1"/>
        <w:keepNext/>
        <w:pageBreakBefore w:val="0"/>
      </w:pPr>
      <w:r>
        <w:t>6. Scénarios de crise</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187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Scénario</w:t>
            </w:r>
          </w:p>
        </w:tc>
        <w:tc>
          <w:tcPr>
            <w:tcW w:type="dxa" w:w="260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Première heure</w:t>
            </w:r>
          </w:p>
        </w:tc>
        <w:tc>
          <w:tcPr>
            <w:tcW w:type="dxa" w:w="289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24 premières heures</w:t>
            </w:r>
          </w:p>
        </w:tc>
        <w:tc>
          <w:tcPr>
            <w:tcW w:type="dxa" w:w="198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Décision</w:t>
            </w:r>
          </w:p>
        </w:tc>
      </w:tr>
      <w:tr>
        <w:trPr>
          <w:cantSplit/>
        </w:trPr>
        <w:tc>
          <w:tcPr>
            <w:tcW w:type="dxa" w:w="187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Téléphone d’agent perdu</w:t>
            </w:r>
          </w:p>
        </w:tc>
        <w:tc>
          <w:tcPr>
            <w:tcW w:type="dxa" w:w="260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Révoquer compte, localiser si autorisé, informer données.</w:t>
            </w:r>
          </w:p>
        </w:tc>
        <w:tc>
          <w:tcPr>
            <w:tcW w:type="dxa" w:w="289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Analyser données locales, changer secrets, tracer.</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Notification selon risque et avis.</w:t>
            </w:r>
          </w:p>
        </w:tc>
      </w:tr>
      <w:tr>
        <w:trPr>
          <w:cantSplit/>
        </w:trPr>
        <w:tc>
          <w:tcPr>
            <w:tcW w:type="dxa" w:w="187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Fichier envoyé au mauvais partenaire</w:t>
            </w:r>
          </w:p>
        </w:tc>
        <w:tc>
          <w:tcPr>
            <w:tcW w:type="dxa" w:w="260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Demander suppression, révoquer lien, conserver preuves.</w:t>
            </w:r>
          </w:p>
        </w:tc>
        <w:tc>
          <w:tcPr>
            <w:tcW w:type="dxa" w:w="289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Qualifier champs et accès, contacter conseil.</w:t>
            </w:r>
          </w:p>
        </w:tc>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Informer les personnes / autorités si requis.</w:t>
            </w:r>
          </w:p>
        </w:tc>
      </w:tr>
      <w:tr>
        <w:trPr>
          <w:cantSplit/>
        </w:trPr>
        <w:tc>
          <w:tcPr>
            <w:tcW w:type="dxa" w:w="187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Agent demande un code mobile money</w:t>
            </w:r>
          </w:p>
        </w:tc>
        <w:tc>
          <w:tcPr>
            <w:tcW w:type="dxa" w:w="260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Arrêter la collecte et retirer l’agent.</w:t>
            </w:r>
          </w:p>
        </w:tc>
        <w:tc>
          <w:tcPr>
            <w:tcW w:type="dxa" w:w="289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Enquêter, contacter les personnes, supprimer la donnée.</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Sanction, notification et reprise de formation.</w:t>
            </w:r>
          </w:p>
        </w:tc>
      </w:tr>
      <w:tr>
        <w:trPr>
          <w:cantSplit/>
        </w:trPr>
        <w:tc>
          <w:tcPr>
            <w:tcW w:type="dxa" w:w="187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Partenaire annonce un prêt garanti</w:t>
            </w:r>
          </w:p>
        </w:tc>
        <w:tc>
          <w:tcPr>
            <w:tcW w:type="dxa" w:w="260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Faire corriger le message et suspendre la campagne.</w:t>
            </w:r>
          </w:p>
        </w:tc>
        <w:tc>
          <w:tcPr>
            <w:tcW w:type="dxa" w:w="289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Évaluer consentements viciés et plaintes.</w:t>
            </w:r>
          </w:p>
        </w:tc>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Résilier ou réautoriser selon analyse.</w:t>
            </w:r>
          </w:p>
        </w:tc>
      </w:tr>
      <w:tr>
        <w:trPr>
          <w:cantSplit/>
        </w:trPr>
        <w:tc>
          <w:tcPr>
            <w:tcW w:type="dxa" w:w="187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Trésorerie insuffisante</w:t>
            </w:r>
          </w:p>
        </w:tc>
        <w:tc>
          <w:tcPr>
            <w:tcW w:type="dxa" w:w="260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Geler engagements non essentiels.</w:t>
            </w:r>
          </w:p>
        </w:tc>
        <w:tc>
          <w:tcPr>
            <w:tcW w:type="dxa" w:w="289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Mettre à jour runway, recouvrer et prioriser.</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Réduire le scope ou arrêter proprement.</w:t>
            </w:r>
          </w:p>
        </w:tc>
      </w:tr>
      <w:tr>
        <w:trPr>
          <w:cantSplit/>
        </w:trPr>
        <w:tc>
          <w:tcPr>
            <w:tcW w:type="dxa" w:w="187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Agression sur le terrain</w:t>
            </w:r>
          </w:p>
        </w:tc>
        <w:tc>
          <w:tcPr>
            <w:tcW w:type="dxa" w:w="260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Mettre l’équipe en sécurité et appeler les services compétents.</w:t>
            </w:r>
          </w:p>
        </w:tc>
        <w:tc>
          <w:tcPr>
            <w:tcW w:type="dxa" w:w="289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Soutien, rapport, suspension de zone.</w:t>
            </w:r>
          </w:p>
        </w:tc>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Reprendre seulement après analyse.</w:t>
            </w:r>
          </w:p>
        </w:tc>
      </w:tr>
    </w:tbl>
    <w:p>
      <w:pPr>
        <w:spacing w:after="40"/>
      </w:pPr>
    </w:p>
    <w:p>
      <w:pPr>
        <w:pStyle w:val="Heading1"/>
        <w:keepNext/>
        <w:pageBreakBefore w:val="0"/>
      </w:pPr>
      <w:r>
        <w:t>7. Plan de traitement sur 30 jours</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1190"/>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Semaine</w:t>
            </w:r>
          </w:p>
        </w:tc>
        <w:tc>
          <w:tcPr>
            <w:tcW w:type="dxa" w:w="402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Actions</w:t>
            </w:r>
          </w:p>
        </w:tc>
        <w:tc>
          <w:tcPr>
            <w:tcW w:type="dxa" w:w="232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Livrables</w:t>
            </w:r>
          </w:p>
        </w:tc>
        <w:tc>
          <w:tcPr>
            <w:tcW w:type="dxa" w:w="181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Décision</w:t>
            </w:r>
          </w:p>
        </w:tc>
      </w:tr>
      <w:tr>
        <w:trPr>
          <w:cantSplit/>
        </w:trPr>
        <w:tc>
          <w:tcPr>
            <w:tcW w:type="dxa" w:w="119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S-2</w:t>
            </w:r>
          </w:p>
        </w:tc>
        <w:tc>
          <w:tcPr>
            <w:tcW w:type="dxa" w:w="402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Nommer propriétaires; valider entité, données, terrain et budget.</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Registre V1, RACI, gates.</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Préparation autorisée.</w:t>
            </w:r>
          </w:p>
        </w:tc>
      </w:tr>
      <w:tr>
        <w:trPr>
          <w:cantSplit/>
        </w:trPr>
        <w:tc>
          <w:tcPr>
            <w:tcW w:type="dxa" w:w="119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S-1</w:t>
            </w:r>
          </w:p>
        </w:tc>
        <w:tc>
          <w:tcPr>
            <w:tcW w:type="dxa" w:w="402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Tester consentement, accès, reprise, incident et sécurité terrain.</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Rapports de test.</w:t>
            </w:r>
          </w:p>
        </w:tc>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Go / no-go pilote.</w:t>
            </w:r>
          </w:p>
        </w:tc>
      </w:tr>
      <w:tr>
        <w:trPr>
          <w:cantSplit/>
        </w:trPr>
        <w:tc>
          <w:tcPr>
            <w:tcW w:type="dxa" w:w="119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S1</w:t>
            </w:r>
          </w:p>
        </w:tc>
        <w:tc>
          <w:tcPr>
            <w:tcW w:type="dxa" w:w="402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Échantillon limité; revue quotidienne de tous les risques rouges.</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Journal incidents et qualité.</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Étendre ou corriger.</w:t>
            </w:r>
          </w:p>
        </w:tc>
      </w:tr>
      <w:tr>
        <w:trPr>
          <w:cantSplit/>
        </w:trPr>
        <w:tc>
          <w:tcPr>
            <w:tcW w:type="dxa" w:w="119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S2</w:t>
            </w:r>
          </w:p>
        </w:tc>
        <w:tc>
          <w:tcPr>
            <w:tcW w:type="dxa" w:w="402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Stabiliser productivité et contrôles; premiers entretiens partenaires.</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KRI hebdomadaire.</w:t>
            </w:r>
          </w:p>
        </w:tc>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Maintenir le volume.</w:t>
            </w:r>
          </w:p>
        </w:tc>
      </w:tr>
      <w:tr>
        <w:trPr>
          <w:cantSplit/>
        </w:trPr>
        <w:tc>
          <w:tcPr>
            <w:tcW w:type="dxa" w:w="119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S3</w:t>
            </w:r>
          </w:p>
        </w:tc>
        <w:tc>
          <w:tcPr>
            <w:tcW w:type="dxa" w:w="402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Tester accès partenaire et prix sur cas autorisés.</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Preuves de valeur et retours.</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Poursuivre / pivoter.</w:t>
            </w:r>
          </w:p>
        </w:tc>
      </w:tr>
      <w:tr>
        <w:trPr>
          <w:cantSplit/>
        </w:trPr>
        <w:tc>
          <w:tcPr>
            <w:tcW w:type="dxa" w:w="119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S4</w:t>
            </w:r>
          </w:p>
        </w:tc>
        <w:tc>
          <w:tcPr>
            <w:tcW w:type="dxa" w:w="402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Revue complète des risques résiduels et résultats.</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Rapport pilote.</w:t>
            </w:r>
          </w:p>
        </w:tc>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Arrêt, extension limitée ou industrialisation.</w:t>
            </w:r>
          </w:p>
        </w:tc>
      </w:tr>
    </w:tbl>
    <w:p>
      <w:pPr>
        <w:spacing w:after="40"/>
      </w:pPr>
    </w:p>
    <w:p>
      <w:pPr>
        <w:pStyle w:val="Heading1"/>
        <w:keepNext/>
        <w:pageBreakBefore w:val="0"/>
      </w:pPr>
      <w:r>
        <w:t>8. Modèle de fiche de risque</w:t>
      </w:r>
    </w:p>
    <w:tbl>
      <w:tblPr>
        <w:tblW w:type="auto" w:w="0"/>
        <w:jc w:val="center"/>
        <w:tblLayout w:type="fixed"/>
        <w:tblLook w:firstColumn="1" w:firstRow="1" w:lastColumn="0" w:lastRow="0" w:noHBand="0" w:noVBand="1" w:val="04A0"/>
      </w:tblPr>
      <w:tblGrid>
        <w:gridCol w:w="4776"/>
        <w:gridCol w:w="4776"/>
      </w:tblGrid>
      <w:tr>
        <w:trPr>
          <w:tblHeader w:val="true"/>
        </w:trPr>
        <w:tc>
          <w:tcPr>
            <w:tcW w:type="dxa" w:w="226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Champ</w:t>
            </w:r>
          </w:p>
        </w:tc>
        <w:tc>
          <w:tcPr>
            <w:tcW w:type="dxa" w:w="708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Contenu requis</w:t>
            </w:r>
          </w:p>
        </w:tc>
      </w:tr>
      <w:tr>
        <w:trPr>
          <w:cantSplit/>
        </w:trPr>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Identifiant et titre</w:t>
            </w:r>
          </w:p>
        </w:tc>
        <w:tc>
          <w:tcPr>
            <w:tcW w:type="dxa" w:w="708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Code unique et formulation cause - événement - impact.</w:t>
            </w:r>
          </w:p>
        </w:tc>
      </w:tr>
      <w:tr>
        <w:trPr>
          <w:cantSplit/>
        </w:trPr>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Propriétaire</w:t>
            </w:r>
          </w:p>
        </w:tc>
        <w:tc>
          <w:tcPr>
            <w:tcW w:type="dxa" w:w="708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Personne qui a l’autorité et les moyens d’agir.</w:t>
            </w:r>
          </w:p>
        </w:tc>
      </w:tr>
      <w:tr>
        <w:trPr>
          <w:cantSplit/>
        </w:trPr>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Causes</w:t>
            </w:r>
          </w:p>
        </w:tc>
        <w:tc>
          <w:tcPr>
            <w:tcW w:type="dxa" w:w="708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Facteurs internes et externes vérifiables.</w:t>
            </w:r>
          </w:p>
        </w:tc>
      </w:tr>
      <w:tr>
        <w:trPr>
          <w:cantSplit/>
        </w:trPr>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Conséquences</w:t>
            </w:r>
          </w:p>
        </w:tc>
        <w:tc>
          <w:tcPr>
            <w:tcW w:type="dxa" w:w="708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Personnes, opérations, finance, juridique et réputation.</w:t>
            </w:r>
          </w:p>
        </w:tc>
      </w:tr>
      <w:tr>
        <w:trPr>
          <w:cantSplit/>
        </w:trPr>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Cotation brute</w:t>
            </w:r>
          </w:p>
        </w:tc>
        <w:tc>
          <w:tcPr>
            <w:tcW w:type="dxa" w:w="708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Probabilité, impact et justification.</w:t>
            </w:r>
          </w:p>
        </w:tc>
      </w:tr>
      <w:tr>
        <w:trPr>
          <w:cantSplit/>
        </w:trPr>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Contrôles</w:t>
            </w:r>
          </w:p>
        </w:tc>
        <w:tc>
          <w:tcPr>
            <w:tcW w:type="dxa" w:w="708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Préventifs, détectifs, correctifs et preuves.</w:t>
            </w:r>
          </w:p>
        </w:tc>
      </w:tr>
      <w:tr>
        <w:trPr>
          <w:cantSplit/>
        </w:trPr>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Cotation résiduelle</w:t>
            </w:r>
          </w:p>
        </w:tc>
        <w:tc>
          <w:tcPr>
            <w:tcW w:type="dxa" w:w="708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Évaluation après contrôles réellement actifs.</w:t>
            </w:r>
          </w:p>
        </w:tc>
      </w:tr>
      <w:tr>
        <w:trPr>
          <w:cantSplit/>
        </w:trPr>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Plan</w:t>
            </w:r>
          </w:p>
        </w:tc>
        <w:tc>
          <w:tcPr>
            <w:tcW w:type="dxa" w:w="708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Action, responsable, échéance, coût et critère de réussite.</w:t>
            </w:r>
          </w:p>
        </w:tc>
      </w:tr>
      <w:tr>
        <w:trPr>
          <w:cantSplit/>
        </w:trPr>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KRI</w:t>
            </w:r>
          </w:p>
        </w:tc>
        <w:tc>
          <w:tcPr>
            <w:tcW w:type="dxa" w:w="708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Signal mesurable et seuil d’escalade.</w:t>
            </w:r>
          </w:p>
        </w:tc>
      </w:tr>
      <w:tr>
        <w:trPr>
          <w:cantSplit/>
        </w:trPr>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Historique</w:t>
            </w:r>
          </w:p>
        </w:tc>
        <w:tc>
          <w:tcPr>
            <w:tcW w:type="dxa" w:w="708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Décisions, incidents, changements et clôture.</w:t>
            </w:r>
          </w:p>
        </w:tc>
      </w:tr>
    </w:tbl>
    <w:p>
      <w:pPr>
        <w:spacing w:after="40"/>
      </w:pPr>
    </w:p>
    <w:p>
      <w:pPr>
        <w:pStyle w:val="Heading1"/>
        <w:keepNext/>
        <w:pageBreakBefore w:val="0"/>
      </w:pPr>
      <w:r>
        <w:t>9. Revue et reporting</w:t>
      </w:r>
    </w:p>
    <w:p>
      <w:pPr>
        <w:pStyle w:val="ListBullet"/>
      </w:pPr>
      <w:r>
        <w:t>Revue quotidienne pendant les cinq premiers jours du pilote.</w:t>
      </w:r>
    </w:p>
    <w:p>
      <w:pPr>
        <w:pStyle w:val="ListBullet"/>
      </w:pPr>
      <w:r>
        <w:t>Revue hebdomadaire pendant le reste du pilote.</w:t>
      </w:r>
    </w:p>
    <w:p>
      <w:pPr>
        <w:pStyle w:val="ListBullet"/>
      </w:pPr>
      <w:r>
        <w:t>Revue mensuelle après le pilote et avant chaque nouveau partenaire ou zone.</w:t>
      </w:r>
    </w:p>
    <w:p>
      <w:pPr>
        <w:pStyle w:val="ListBullet"/>
      </w:pPr>
      <w:r>
        <w:t>Revue immédiate après incident S3/S4, changement de traitement, nouveau fournisseur ou nouvelle catégorie de preuve.</w:t>
      </w:r>
    </w:p>
    <w:p>
      <w:pPr>
        <w:pStyle w:val="ListBullet"/>
      </w:pPr>
      <w:r>
        <w:t>Conservation des décisions, désaccords et risques acceptés par une personne habilitée.</w:t>
      </w:r>
    </w:p>
    <w:p>
      <w:pPr>
        <w:pStyle w:val="Heading1"/>
        <w:keepNext/>
        <w:pageBreakBefore w:val="0"/>
      </w:pPr>
      <w:r>
        <w:t>10. Sources et limites</w:t>
      </w:r>
    </w:p>
    <w:p>
      <w:pPr>
        <w:pStyle w:val="Sourcenote"/>
      </w:pPr>
      <w:r>
        <w:t>Pack Dëggal reconstruit, version du 12 juillet 2026 - source interne. Sénégal - loi n° 2008-12 du 25 janvier 2008 sur la protection des données à caractère personnel - texte à vérifier dans sa version en vigueur. Commission de protection des données personnelles du Sénégal: https://www.cdp.sn/ OHADA - actes uniformes applicables aux sociétés et aux contrats commerciaux: https://www.ohada.org/</w:t>
      </w:r>
    </w:p>
    <w:p>
      <w:r>
        <w:t>Les scores proposés servent de point de départ. Les propriétaires, seuils d’appétence, obligations juridiques et coûts de traitement doivent être confirmés avant le pilote.</w:t>
      </w:r>
    </w:p>
    <w:sectPr w:rsidR="00FC693F" w:rsidRPr="0006063C" w:rsidSect="00034616">
      <w:headerReference w:type="default" r:id="rId10"/>
      <w:footerReference w:type="default" r:id="rId11"/>
      <w:pgSz w:w="11906" w:h="16838"/>
      <w:pgMar w:top="1134" w:right="1134" w:bottom="1020" w:left="1219" w:header="397" w:footer="369" w:gutter="0"/>
      <w:cols w:space="720"/>
      <w:titlePg/>
      <w:docGrid w:linePitch="360"/>
      <w:pgNumType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tblLayout w:type="fixed"/>
      <w:tblLook w:firstColumn="1" w:firstRow="1" w:lastColumn="0" w:lastRow="0" w:noHBand="0" w:noVBand="1" w:val="04A0"/>
    </w:tblPr>
    <w:tblGrid>
      <w:gridCol w:w="3184"/>
      <w:gridCol w:w="3184"/>
      <w:gridCol w:w="3184"/>
    </w:tblGrid>
    <w:tr>
      <w:tc>
        <w:tcPr>
          <w:tcW w:type="dxa" w:w="2551"/>
          <w:tcBorders>
            <w:top w:val="single" w:sz="4" w:color="D6DEDA"/>
          </w:tcBorders>
        </w:tcPr>
        <w:p>
          <w:pPr>
            <w:spacing w:before="40" w:after="0"/>
            <w:jc w:val="left"/>
          </w:pPr>
          <w:r>
            <w:rPr>
              <w:color w:val="6D7471"/>
              <w:sz w:val="14"/>
            </w:rPr>
            <w:t>Confidentiel - diffusion contrôlée</w:t>
          </w:r>
        </w:p>
      </w:tc>
      <w:tc>
        <w:tcPr>
          <w:tcW w:type="dxa" w:w="4450"/>
          <w:tcBorders>
            <w:top w:val="single" w:sz="4" w:color="D6DEDA"/>
          </w:tcBorders>
        </w:tcPr>
        <w:p>
          <w:pPr>
            <w:spacing w:before="40" w:after="0"/>
            <w:jc w:val="center"/>
          </w:pPr>
          <w:r>
            <w:rPr>
              <w:color w:val="6D7471"/>
              <w:sz w:val="14"/>
            </w:rPr>
            <w:t>12 juillet 2026</w:t>
          </w:r>
        </w:p>
      </w:tc>
      <w:tc>
        <w:tcPr>
          <w:tcW w:type="dxa" w:w="2551"/>
          <w:tcBorders>
            <w:top w:val="single" w:sz="4" w:color="D6DEDA"/>
          </w:tcBorders>
        </w:tcPr>
        <w:p>
          <w:pPr>
            <w:spacing w:before="40" w:after="0"/>
            <w:jc w:val="center"/>
          </w:pPr>
          <w:r>
            <w:rPr>
              <w:color w:val="6D7471"/>
              <w:sz w:val="14"/>
            </w:rPr>
            <w:t xml:space="preserve">Page </w:t>
          </w:r>
        </w:p>
      </w:tc>
    </w:tr>
  </w:tbl>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tblLayout w:type="fixed"/>
      <w:tblLook w:firstColumn="1" w:firstRow="1" w:lastColumn="0" w:lastRow="0" w:noHBand="0" w:noVBand="1" w:val="04A0"/>
    </w:tblPr>
    <w:tblGrid>
      <w:gridCol w:w="3184"/>
      <w:gridCol w:w="3184"/>
      <w:gridCol w:w="3184"/>
    </w:tblGrid>
    <w:tr>
      <w:tc>
        <w:tcPr>
          <w:tcW w:type="dxa" w:w="2551"/>
          <w:tcBorders>
            <w:bottom w:val="single" w:sz="8" w:color="D4A936"/>
          </w:tcBorders>
        </w:tcPr>
        <w:p>
          <w:pPr>
            <w:spacing w:after="40"/>
            <w:jc w:val="left"/>
          </w:pPr>
          <w:r>
            <w:rPr>
              <w:rFonts w:ascii="Carlito" w:hAnsi="Carlito"/>
              <w:b/>
              <w:color w:val="0B5947"/>
              <w:sz w:val="15"/>
            </w:rPr>
            <w:t>DËGGAL</w:t>
          </w:r>
        </w:p>
      </w:tc>
      <w:tc>
        <w:tcPr>
          <w:tcW w:type="dxa" w:w="4450"/>
          <w:tcBorders>
            <w:bottom w:val="single" w:sz="8" w:color="D4A936"/>
          </w:tcBorders>
        </w:tcPr>
        <w:p>
          <w:pPr>
            <w:spacing w:after="40"/>
            <w:jc w:val="center"/>
          </w:pPr>
          <w:r>
            <w:rPr>
              <w:rFonts w:ascii="Carlito" w:hAnsi="Carlito"/>
              <w:b w:val="0"/>
              <w:color w:val="6D7471"/>
              <w:sz w:val="15"/>
            </w:rPr>
            <w:t>Registre des risques et conformité</w:t>
          </w:r>
        </w:p>
      </w:tc>
      <w:tc>
        <w:tcPr>
          <w:tcW w:type="dxa" w:w="2551"/>
          <w:tcBorders>
            <w:bottom w:val="single" w:sz="8" w:color="D4A936"/>
          </w:tcBorders>
        </w:tcPr>
        <w:p>
          <w:pPr>
            <w:spacing w:after="40"/>
            <w:jc w:val="right"/>
          </w:pPr>
          <w:r>
            <w:rPr>
              <w:rFonts w:ascii="Carlito" w:hAnsi="Carlito"/>
              <w:b w:val="0"/>
              <w:color w:val="6D7471"/>
              <w:sz w:val="15"/>
            </w:rPr>
            <w:t>Édition consolidée</w:t>
          </w:r>
        </w:p>
      </w:tc>
    </w:tr>
  </w:tbl>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10" w:line="271" w:lineRule="auto"/>
    </w:pPr>
    <w:rPr>
      <w:rFonts w:ascii="Carlito" w:hAnsi="Carlito"/>
      <w:color w:val="1F2A26"/>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40"/>
      <w:outlineLvl w:val="0"/>
    </w:pPr>
    <w:rPr>
      <w:rFonts w:asciiTheme="majorHAnsi" w:eastAsiaTheme="majorEastAsia" w:hAnsiTheme="majorHAnsi" w:cstheme="majorBidi" w:ascii="Cabin" w:hAnsi="Cabin"/>
      <w:b/>
      <w:bCs/>
      <w:color w:val="0B5947"/>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Cabin" w:hAnsi="Cabin"/>
      <w:b/>
      <w:bCs/>
      <w:color w:val="C97B42"/>
      <w:sz w:val="25"/>
      <w:szCs w:val="26"/>
    </w:rPr>
  </w:style>
  <w:style w:type="paragraph" w:styleId="Heading3">
    <w:name w:val="heading 3"/>
    <w:basedOn w:val="Normal"/>
    <w:next w:val="Normal"/>
    <w:link w:val="Heading3Char"/>
    <w:uiPriority w:val="9"/>
    <w:unhideWhenUsed/>
    <w:qFormat/>
    <w:rsid w:val="00FC693F"/>
    <w:pPr>
      <w:keepNext/>
      <w:keepLines/>
      <w:spacing w:before="180" w:after="60"/>
      <w:outlineLvl w:val="2"/>
    </w:pPr>
    <w:rPr>
      <w:rFonts w:asciiTheme="majorHAnsi" w:eastAsiaTheme="majorEastAsia" w:hAnsiTheme="majorHAnsi" w:cstheme="majorBidi" w:ascii="Cabin" w:hAnsi="Cabin"/>
      <w:b/>
      <w:bCs/>
      <w:color w:val="443A78"/>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00" w:line="240" w:lineRule="auto" w:before="0"/>
      <w:contextualSpacing/>
    </w:pPr>
    <w:rPr>
      <w:rFonts w:asciiTheme="majorHAnsi" w:eastAsiaTheme="majorEastAsia" w:hAnsiTheme="majorHAnsi" w:cstheme="majorBidi" w:ascii="Cabin" w:hAnsi="Cabin"/>
      <w:b/>
      <w:color w:val="0B5947"/>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160"/>
    </w:pPr>
    <w:rPr>
      <w:rFonts w:asciiTheme="majorHAnsi" w:eastAsiaTheme="majorEastAsia" w:hAnsiTheme="majorHAnsi" w:cstheme="majorBidi" w:ascii="Cabin" w:hAnsi="Cabin"/>
      <w:b w:val="0"/>
      <w:i/>
      <w:iCs/>
      <w:color w:val="6D7471"/>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Carlito" w:hAnsi="Carlito"/>
      <w:sz w:val="20"/>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Carlito" w:hAnsi="Carlito"/>
      <w:sz w:val="20"/>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note">
    <w:name w:val="Small note"/>
    <w:pPr>
      <w:spacing w:after="40"/>
    </w:pPr>
    <w:rPr>
      <w:rFonts w:ascii="Carlito" w:hAnsi="Carlito"/>
      <w:color w:val="6D7471"/>
      <w:sz w:val="16"/>
    </w:rPr>
  </w:style>
  <w:style w:type="paragraph" w:customStyle="1" w:styleId="Sourcenote">
    <w:name w:val="Source note"/>
    <w:pPr>
      <w:spacing w:before="40" w:after="80"/>
    </w:pPr>
    <w:rPr>
      <w:rFonts w:ascii="Carlito" w:hAnsi="Carlito"/>
      <w:i/>
      <w:color w:val="6D7471"/>
      <w:sz w:val="15"/>
    </w:rPr>
  </w:style>
  <w:style w:type="paragraph" w:customStyle="1" w:styleId="Tabletext">
    <w:name w:val="Table text"/>
    <w:pPr>
      <w:spacing w:after="0" w:line="240" w:lineRule="auto"/>
    </w:pPr>
    <w:rPr>
      <w:rFonts w:ascii="Carlito" w:hAnsi="Carlito"/>
      <w:color w:val="1F2A26"/>
      <w:sz w:val="17"/>
    </w:rPr>
  </w:style>
  <w:style w:type="paragraph" w:customStyle="1" w:styleId="KPIlabel">
    <w:name w:val="KPI label"/>
    <w:pPr>
      <w:spacing w:after="0"/>
    </w:pPr>
    <w:rPr>
      <w:rFonts w:ascii="Carlito" w:hAnsi="Carlito"/>
      <w:b/>
      <w:color w:val="6D7471"/>
      <w:sz w:val="15"/>
    </w:rPr>
  </w:style>
  <w:style w:type="paragraph" w:customStyle="1" w:styleId="KPIvalue">
    <w:name w:val="KPI value"/>
    <w:pPr>
      <w:spacing w:after="20"/>
    </w:pPr>
    <w:rPr>
      <w:rFonts w:ascii="Cabin" w:hAnsi="Cabin"/>
      <w:b/>
      <w:color w:val="0B5947"/>
      <w:sz w:val="32"/>
    </w:rPr>
  </w:style>
  <w:style w:type="paragraph" w:customStyle="1" w:styleId="Callouttitle">
    <w:name w:val="Callout title"/>
    <w:pPr>
      <w:spacing w:after="40"/>
    </w:pPr>
    <w:rPr>
      <w:rFonts w:ascii="Cabin" w:hAnsi="Cabin"/>
      <w:b/>
      <w:color w:val="143B31"/>
      <w:sz w:val="20"/>
    </w:rPr>
  </w:style>
  <w:style w:type="paragraph" w:customStyle="1" w:styleId="Callouttext">
    <w:name w:val="Callout text"/>
    <w:pPr>
      <w:spacing w:after="20"/>
    </w:pPr>
    <w:rPr>
      <w:rFonts w:ascii="Carlito" w:hAnsi="Carlito"/>
      <w:color w:val="1F2A26"/>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