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00"/>
        <w:jc w:val="center"/>
      </w:pPr>
      <w:r>
        <w:rPr>
          <w:rFonts w:ascii="Cabin" w:hAnsi="Cabin"/>
          <w:b/>
          <w:color w:val="0B5947"/>
          <w:sz w:val="24"/>
        </w:rPr>
        <w:t>DËGGAL</w:t>
      </w:r>
    </w:p>
    <w:p>
      <w:pPr>
        <w:spacing w:after="240"/>
        <w:jc w:val="center"/>
      </w:pPr>
      <w:r>
        <w:rPr>
          <w:sz w:val="15"/>
        </w:rPr>
        <w:t>INFRASTRUCTURE DE PREUVE POUR LES ACTIVITÉS ÉCONOMIQUES INFORMELLES</w:t>
      </w:r>
    </w:p>
    <w:p>
      <w:pPr>
        <w:jc w:val="center"/>
      </w:pPr>
      <w:r/>
    </w:p>
    <w:p>
      <w:pPr>
        <w:spacing w:before="160" w:after="60"/>
        <w:jc w:val="center"/>
      </w:pPr>
      <w:r>
        <w:rPr>
          <w:rFonts w:ascii="Cabin" w:hAnsi="Cabin"/>
          <w:b/>
          <w:color w:val="D4A936"/>
          <w:sz w:val="18"/>
        </w:rPr>
        <w:t>MANUEL OPÉRATIONNEL</w:t>
      </w:r>
    </w:p>
    <w:p>
      <w:pPr>
        <w:pStyle w:val="Title"/>
        <w:jc w:val="center"/>
      </w:pPr>
      <w:r>
        <w:t>Manuel des opérations et procédures</w:t>
      </w:r>
    </w:p>
    <w:p>
      <w:pPr>
        <w:pStyle w:val="Subtitle"/>
        <w:jc w:val="center"/>
      </w:pPr>
      <w:r>
        <w:t>SOP de bout en bout - préparation, collecte, contrôle, partage et incident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2041"/>
            <w:shd w:fill="0B5947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  <w:color w:val="FFFFFF"/>
              </w:rPr>
              <w:t>Statut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Édition consolidée - procédures à tester lors du pilote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Consolidée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Audience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Direction, responsable opérations, back-office, équipe terrain, données et partenaires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12 juillet 2026</w:t>
            </w:r>
          </w:p>
        </w:tc>
      </w:tr>
    </w:tbl>
    <w:p/>
    <w:p>
      <w:pPr>
        <w:jc w:val="center"/>
      </w:pPr>
      <w:r>
        <w:rPr>
          <w:b/>
          <w:color w:val="443A78"/>
          <w:sz w:val="16"/>
        </w:rPr>
        <w:t>Confidentiel - diffusion contrôlée</w:t>
      </w:r>
    </w:p>
    <w:p>
      <w:pPr>
        <w:jc w:val="center"/>
      </w:pPr>
      <w:r>
        <w:rPr>
          <w:i/>
          <w:color w:val="6D7471"/>
          <w:sz w:val="15"/>
        </w:rPr>
        <w:t>Les objectifs et hypothèses ne doivent pas être présentés comme des résultats obtenus.</w:t>
      </w:r>
    </w:p>
    <w:p>
      <w:pPr>
        <w:sectPr>
          <w:headerReference w:type="default" r:id="rId12"/>
          <w:footerReference w:type="default" r:id="rId13"/>
          <w:pgSz w:w="11906" w:h="16838"/>
          <w:pgMar w:top="1134" w:right="1134" w:bottom="1134" w:left="1134" w:header="720" w:footer="720" w:gutter="0"/>
          <w:cols w:space="720"/>
          <w:titlePg/>
          <w:docGrid w:linePitch="360"/>
        </w:sectPr>
      </w:pPr>
    </w:p>
    <w:p>
      <w:pPr>
        <w:spacing w:before="60" w:after="40"/>
      </w:pPr>
      <w:r>
        <w:rPr>
          <w:rFonts w:ascii="Cabin" w:hAnsi="Cabin"/>
          <w:b/>
          <w:color w:val="D4A936"/>
          <w:sz w:val="16"/>
        </w:rPr>
        <w:t>EXÉCUTION CONTRÔLÉE</w:t>
      </w:r>
    </w:p>
    <w:p>
      <w:pPr>
        <w:pStyle w:val="Title"/>
        <w:jc w:val="left"/>
      </w:pPr>
      <w:r>
        <w:t>Manuel des opérations et procédures</w:t>
      </w:r>
    </w:p>
    <w:p>
      <w:pPr>
        <w:pStyle w:val="Subtitle"/>
        <w:jc w:val="left"/>
      </w:pPr>
      <w:r>
        <w:t>Un manuel utilisable le jour 1, avec rôles, preuves de contrôle et critères d’escalade.</w:t>
      </w:r>
    </w:p>
    <w:p>
      <w:pPr>
        <w:spacing w:after="120"/>
        <w:pBdr>
          <w:bottom w:val="single" w:sz="12" w:space="1" w:color="D4A936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10</w:t>
            </w:r>
          </w:p>
          <w:p>
            <w:pPr>
              <w:pStyle w:val="KPIlabel"/>
              <w:jc w:val="center"/>
            </w:pPr>
            <w:r>
              <w:t>SOP principales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&lt; 24 h</w:t>
            </w:r>
          </w:p>
          <w:p>
            <w:pPr>
              <w:pStyle w:val="KPIlabel"/>
              <w:jc w:val="center"/>
            </w:pPr>
            <w:r>
              <w:t>délai cible de QA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100 %</w:t>
            </w:r>
          </w:p>
          <w:p>
            <w:pPr>
              <w:pStyle w:val="KPIlabel"/>
              <w:jc w:val="center"/>
            </w:pPr>
            <w:r>
              <w:t>consentement avant collecte</w:t>
            </w:r>
          </w:p>
        </w:tc>
      </w:tr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0</w:t>
            </w:r>
          </w:p>
          <w:p>
            <w:pPr>
              <w:pStyle w:val="KPIlabel"/>
              <w:jc w:val="center"/>
            </w:pPr>
            <w:r>
              <w:t>donnée interdite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3 niveaux</w:t>
            </w:r>
          </w:p>
          <w:p>
            <w:pPr>
              <w:pStyle w:val="KPIlabel"/>
              <w:jc w:val="center"/>
            </w:pPr>
            <w:r>
              <w:t>de preuve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30 jours</w:t>
            </w:r>
          </w:p>
          <w:p>
            <w:pPr>
              <w:pStyle w:val="KPIlabel"/>
              <w:jc w:val="center"/>
            </w:pPr>
            <w:r>
              <w:t>cycle pilote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0B5947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EAF3EF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Principe opérationnel</w:t>
            </w:r>
          </w:p>
          <w:p>
            <w:pPr>
              <w:pStyle w:val="Callouttext"/>
            </w:pPr>
            <w:r>
              <w:t>La qualité, le consentement et la sécurité priment sur le volume. Un dossier incomplet ou ambigu est repris ou bloqué - jamais maquillé pour atteindre un quota.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Table des matières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8334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Section</w:t>
            </w:r>
          </w:p>
        </w:tc>
        <w:tc>
          <w:tcPr>
            <w:tcW w:type="dxa" w:w="1020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Page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1. Objet, champ et définitions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2. Organisation, rôles et séparation des tâches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3. Vue de bout en bout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4. SOP-01 - préparation d’une zone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5. SOP-02 - approche et présentation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6. SOP-03 - consentement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7. SOP-04 - collecte des preuves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8. SOP-05 - nommage et transmission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9. SOP-06 - contrôle back-office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10. SOP-07 - création du passeport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11. SOP-08 - accès partenaire et partage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12. SOP-09 - retrait, correction et suppression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13. SOP-10 - incident et escalade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14. Cadence quotidienne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15. Plan des sept premiers jours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16. Contrôle qualité et échantillonnage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17. KPI opérationnels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18. Checklists de clôture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8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19. Sources et documents associés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8</w:t>
            </w:r>
          </w:p>
        </w:tc>
      </w:tr>
    </w:tbl>
    <w:p>
      <w:pPr>
        <w:pStyle w:val="Heading1"/>
        <w:keepNext/>
        <w:pageBreakBefore w:val="0"/>
      </w:pPr>
      <w:r>
        <w:t>1. Objet, champ et définitions</w:t>
      </w:r>
    </w:p>
    <w:p>
      <w:r>
        <w:t>Le présent manuel décrit les activités nécessaires pour créer et partager un passeport d’activité Dëggal. Il s’applique au pilote de Dakar et doit être adapté avant toute extension géographique ou sectorielle.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38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Terme</w:t>
            </w:r>
          </w:p>
        </w:tc>
        <w:tc>
          <w:tcPr>
            <w:tcW w:type="dxa" w:w="697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Définition opérationnelle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Marchand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Personne ou unité économique dont l’activité est documentée avec son accord.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Preuve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Élément daté et proportionné : observation, photo, audio court, reçu ou référence.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Passeport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Résumé structuré des faits, sources, date et niveau de preuve.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Profil partageable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Passeport dont le consentement, la qualité et le périmètre permettent un partage précis.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Partenaire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Organisation autorisée à recevoir une vue filtrée pour une finalité définie.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Incident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Événement de données, sécurité, fraude ou qualité nécessitant confinement et décision.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2. Organisation, rôles et séparation des tâches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87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Rôle</w:t>
            </w:r>
          </w:p>
        </w:tc>
        <w:tc>
          <w:tcPr>
            <w:tcW w:type="dxa" w:w="408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Responsable de</w:t>
            </w:r>
          </w:p>
        </w:tc>
        <w:tc>
          <w:tcPr>
            <w:tcW w:type="dxa" w:w="340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Ne doit pas faire seul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Direction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Décision, budget, contrats et arbitrages.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Valider rétroactivement un partage non conforme.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opérations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Zones, équipe, sécurité, cadence et incidents terrain.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Modifier une preuve pour améliorer un résultat.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Agent terrain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Présentation, consentement, observation, collecte et signalement.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Attribuer seul le niveau final ou partager.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Back-office QA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Complétude, doublons, cohérence et statut.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Créer une preuve qui n’existe pas.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données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Accès, conservation, retrait, incident et journal.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Autoriser un accès sans finalité ou consentement.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Partenariats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Qualification, proposition, commande et suivi.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Recevoir ou transmettre le dossier brut.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Finance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Budget, facture, encaissement et pièces.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Comptabiliser une promesse comme revenu encaissé.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3. Vue de bout en bout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11"/>
        <w:gridCol w:w="1911"/>
        <w:gridCol w:w="1911"/>
        <w:gridCol w:w="1911"/>
        <w:gridCol w:w="1911"/>
      </w:tblGrid>
      <w:tr>
        <w:trPr>
          <w:tblHeader w:val="true"/>
        </w:trPr>
        <w:tc>
          <w:tcPr>
            <w:tcW w:type="dxa" w:w="119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Phase</w:t>
            </w:r>
          </w:p>
        </w:tc>
        <w:tc>
          <w:tcPr>
            <w:tcW w:type="dxa" w:w="153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Entrée</w:t>
            </w:r>
          </w:p>
        </w:tc>
        <w:tc>
          <w:tcPr>
            <w:tcW w:type="dxa" w:w="238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Activité</w:t>
            </w:r>
          </w:p>
        </w:tc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Sortie</w:t>
            </w:r>
          </w:p>
        </w:tc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Contrôle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Préparer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Zone et objectifs approuvés.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Brief, matériel, formulaires, sécurité.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Plan quotidien.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Validation responsable opérations.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Approcher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Commerçant disponible.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Présentation et vérification de compréhension.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Accord ou refus.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Aucune pression.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Consentir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Finalité expliquée.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Choix des preuves et du partage.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Trace de consentement.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Horodatage et identité agent.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Collecter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Accord valide.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Observation et preuves minimales.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Dossier brut nommé.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Aucune donnée interdite.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Contrôler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Dossier transmis.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QA, doublon, cohérence, niveau et reprise.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Statut QA.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Sous 24 h.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Produire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Dossier conforme.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Passeport et QR privé.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Profil validé.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Date et limites visibles.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Partager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Commande + consentement compatible.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Export filtré, accès nommé, expiration.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Vue partenaire.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Journal d’accès.</w:t>
            </w:r>
          </w:p>
        </w:tc>
      </w:tr>
      <w:tr>
        <w:trPr>
          <w:cantSplit/>
        </w:trPr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Clôturer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Fin, retrait ou expiration.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Révocation, archivage ou suppression.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Trace de clôture.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Contrôle responsable données.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4. SOP-01 - préparation d’une zone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73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Étape</w:t>
            </w:r>
          </w:p>
        </w:tc>
        <w:tc>
          <w:tcPr>
            <w:tcW w:type="dxa" w:w="4876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Responsable</w:t>
            </w:r>
          </w:p>
        </w:tc>
        <w:tc>
          <w:tcPr>
            <w:tcW w:type="dxa" w:w="192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Trace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</w:t>
            </w:r>
          </w:p>
        </w:tc>
        <w:tc>
          <w:tcPr>
            <w:tcW w:type="dxa" w:w="487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Définir la zone, les catégories, les horaires et la cible maximale.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opérations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Fiche zone.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2</w:t>
            </w:r>
          </w:p>
        </w:tc>
        <w:tc>
          <w:tcPr>
            <w:tcW w:type="dxa" w:w="487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Identifier autorisation locale, points de contact et risques.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Direction / opérations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Accord ou compte rendu.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3</w:t>
            </w:r>
          </w:p>
        </w:tc>
        <w:tc>
          <w:tcPr>
            <w:tcW w:type="dxa" w:w="487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Préparer itinéraire, binômes, matériel, batterie et connexion.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terrain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Checklist départ.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4</w:t>
            </w:r>
          </w:p>
        </w:tc>
        <w:tc>
          <w:tcPr>
            <w:tcW w:type="dxa" w:w="487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Charger uniquement les listes nécessaires - sans données excessives.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données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Journal de préparation.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5</w:t>
            </w:r>
          </w:p>
        </w:tc>
        <w:tc>
          <w:tcPr>
            <w:tcW w:type="dxa" w:w="487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Tenir un brief sécurité, consentement, message et escalade.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terrain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Présences et questions.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6</w:t>
            </w:r>
          </w:p>
        </w:tc>
        <w:tc>
          <w:tcPr>
            <w:tcW w:type="dxa" w:w="487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Fixer heure de retour, canal d’urgence et point de débrief.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terrain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Plan quotidien.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A33A2B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F8E8E5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Arrêt avant départ</w:t>
            </w:r>
          </w:p>
          <w:p>
            <w:pPr>
              <w:pStyle w:val="Callouttext"/>
            </w:pPr>
            <w:r>
              <w:t>Ne pas déployer l’équipe si l’autorisation locale, le canal d’urgence, le formulaire de consentement ou la protection du matériel ne sont pas maîtrisés.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5. SOP-02 - approche et présentation</w:t>
      </w:r>
    </w:p>
    <w:p>
      <w:r>
        <w:t>Phrase recommandée : « Nous aidons les commerçants à organiser des preuves simples de leur activité. Vous choisissez ce qui peut être collecté et partagé. Dëggal ne garantit aucun prêt, subvention ou contrat. »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Contrôle de compréhension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Réponse attendue</w:t>
            </w:r>
          </w:p>
        </w:tc>
        <w:tc>
          <w:tcPr>
            <w:tcW w:type="dxa" w:w="345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Action si doute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Pourquoi sommes-nous ici?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Organiser des preuves d’activité.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Réexpliquer en termes simples.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Est-ce obligatoire?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Non; le refus n’a aucune conséquence.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Arrêter si pression ressentie.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Est-ce une demande de prêt?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Non.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Corriger immédiatement.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Qui verra les informations?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Seulement les destinataires autorisés et les équipes nécessaires.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Préciser périmètre et durée.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Peut-on retirer l’accord?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Oui, selon la procédure expliquée.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Donner le canal de retrait.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6. SOP-03 - consentement</w:t>
      </w:r>
    </w:p>
    <w:p>
      <w:pPr>
        <w:pStyle w:val="ListNumber"/>
      </w:pPr>
      <w:r>
        <w:t>Présenter la finalité de collecte et le responsable du traitement à confirmer dans la version juridique.</w:t>
      </w:r>
    </w:p>
    <w:p>
      <w:pPr>
        <w:pStyle w:val="ListNumber"/>
      </w:pPr>
      <w:r>
        <w:t>Expliquer chaque type de preuve proposé - texte, photo, audio, localisation, reçu ou référence.</w:t>
      </w:r>
    </w:p>
    <w:p>
      <w:pPr>
        <w:pStyle w:val="ListNumber"/>
      </w:pPr>
      <w:r>
        <w:t>Demander un choix clair; aucune case précochée et aucun consentement global vague.</w:t>
      </w:r>
    </w:p>
    <w:p>
      <w:pPr>
        <w:pStyle w:val="ListNumber"/>
      </w:pPr>
      <w:r>
        <w:t>Enregistrer la date, l’agent, la langue, la version du formulaire et le canal de preuve.</w:t>
      </w:r>
    </w:p>
    <w:p>
      <w:pPr>
        <w:pStyle w:val="ListNumber"/>
      </w:pPr>
      <w:r>
        <w:t>Obtenir un consentement distinct avant tout partage à un partenaire précis.</w:t>
      </w:r>
    </w:p>
    <w:p>
      <w:pPr>
        <w:pStyle w:val="ListNumber"/>
      </w:pPr>
      <w:r>
        <w:t>Fournir le canal d’accès, correction, retrait et suppression.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Élément</w:t>
            </w:r>
          </w:p>
        </w:tc>
        <w:tc>
          <w:tcPr>
            <w:tcW w:type="dxa" w:w="153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Obligatoire</w:t>
            </w:r>
          </w:p>
        </w:tc>
        <w:tc>
          <w:tcPr>
            <w:tcW w:type="dxa" w:w="5556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Règle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Finalité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</w:t>
            </w:r>
          </w:p>
        </w:tc>
        <w:tc>
          <w:tcPr>
            <w:tcW w:type="dxa" w:w="555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Spécifique et compréhensible.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Types de données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</w:t>
            </w:r>
          </w:p>
        </w:tc>
        <w:tc>
          <w:tcPr>
            <w:tcW w:type="dxa" w:w="555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Liste et choix séparés.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Destinataire du partage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 pour partage</w:t>
            </w:r>
          </w:p>
        </w:tc>
        <w:tc>
          <w:tcPr>
            <w:tcW w:type="dxa" w:w="555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Organisation ou catégorie suffisamment précise.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Durée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</w:t>
            </w:r>
          </w:p>
        </w:tc>
        <w:tc>
          <w:tcPr>
            <w:tcW w:type="dxa" w:w="555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 de fin ou condition de clôture.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Retrait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</w:t>
            </w:r>
          </w:p>
        </w:tc>
        <w:tc>
          <w:tcPr>
            <w:tcW w:type="dxa" w:w="555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Canal simple et sans pénalité.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Preuve du consentement</w:t>
            </w:r>
          </w:p>
        </w:tc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</w:t>
            </w:r>
          </w:p>
        </w:tc>
        <w:tc>
          <w:tcPr>
            <w:tcW w:type="dxa" w:w="555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Horodatée et associée au bon dossier.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7. SOP-04 - collecte des preuves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36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Type</w:t>
            </w:r>
          </w:p>
        </w:tc>
        <w:tc>
          <w:tcPr>
            <w:tcW w:type="dxa" w:w="283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Acceptable</w:t>
            </w:r>
          </w:p>
        </w:tc>
        <w:tc>
          <w:tcPr>
            <w:tcW w:type="dxa" w:w="311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À éviter ou interdit</w:t>
            </w:r>
          </w:p>
        </w:tc>
        <w:tc>
          <w:tcPr>
            <w:tcW w:type="dxa" w:w="204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Contrôle</w:t>
            </w:r>
          </w:p>
        </w:tc>
      </w:tr>
      <w:tr>
        <w:trPr>
          <w:cantSplit/>
        </w:trPr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Observation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Description factuelle du lieu, activité, stock visible et date.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Jugement sur la personne ou conclusion non observée.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Séparer observation et déclaration.</w:t>
            </w:r>
          </w:p>
        </w:tc>
      </w:tr>
      <w:tr>
        <w:trPr>
          <w:cantSplit/>
        </w:trPr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Photo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Stand, produit, équipement ou reçu autorisé.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Pièce d’identité brute, tiers non consentant, écran sensible.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Cadrage minimal.</w:t>
            </w:r>
          </w:p>
        </w:tc>
      </w:tr>
      <w:tr>
        <w:trPr>
          <w:cantSplit/>
        </w:trPr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Audio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Résumé court et consenti.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Enregistrement caché, conversation complète inutile.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Durée et finalité.</w:t>
            </w:r>
          </w:p>
        </w:tc>
      </w:tr>
      <w:tr>
        <w:trPr>
          <w:cantSplit/>
        </w:trPr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Reçu / référence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Élément proportionné et masqué si nécessaire.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Solde, PIN, mot de passe, historique complet.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Minimisation.</w:t>
            </w:r>
          </w:p>
        </w:tc>
      </w:tr>
      <w:tr>
        <w:trPr>
          <w:cantSplit/>
        </w:trPr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Localisation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Zone ou point utile au cas d’usage.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Traçage continu ou domicile non nécessaire.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Précision proportionnée.</w:t>
            </w:r>
          </w:p>
        </w:tc>
      </w:tr>
      <w:tr>
        <w:trPr>
          <w:cantSplit/>
        </w:trPr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Contact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Canal choisi pour suivi.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Partage automatique du téléphone personnel.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Consentement spécifique.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8. SOP-05 - nommage et transmission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Élément</w:t>
            </w:r>
          </w:p>
        </w:tc>
        <w:tc>
          <w:tcPr>
            <w:tcW w:type="dxa" w:w="351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Convention</w:t>
            </w:r>
          </w:p>
        </w:tc>
        <w:tc>
          <w:tcPr>
            <w:tcW w:type="dxa" w:w="413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Exemple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ID dossier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DG-AAAA-MM-ZONE-NNNN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DG-2026-07-PKM-0042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Photo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ID_Date_Type_Seq.jpg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DG-2026-07-PKM-0042_20260708_Stock_01.jpg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Audio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ID_Date_AudioCourt_Seq.m4a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DG-2026-07-PKM-0042_20260708_AudioCourt_01.m4a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Référence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ID_Date_Reference_Seq.pdf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DG-2026-07-PKM-0042_20260708_Reference_01.pdf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Note agent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Champ du formulaire ou fichier nommé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DG-2026-07-PKM-0042_20260708_NoteAgent.txt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Transmission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Canal interne approuvé avant l’heure limite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Jamais sur un lien public.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9. SOP-06 - contrôle back-office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75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Contrôle</w:t>
            </w:r>
          </w:p>
        </w:tc>
        <w:tc>
          <w:tcPr>
            <w:tcW w:type="dxa" w:w="5216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Question</w:t>
            </w:r>
          </w:p>
        </w:tc>
        <w:tc>
          <w:tcPr>
            <w:tcW w:type="dxa" w:w="238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Statut possible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Identité dossier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L’ID est-il unique et cohérent sur tous les fichiers?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Conforme / doublon / erreur.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Consentement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La version, date et finalité couvrent-elles les données?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Conforme / à reprendre / bloqué.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Complétude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Les champs et preuves minimaux du niveau sont-ils présents?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Complet / incomplet.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Cohérence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Les dates, activité, zone et références sont-elles plausibles?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Conforme / alerte.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Qualité média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La preuve est-elle lisible et nécessaire?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Acceptée / reprise / supprimée.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Données interdites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Un secret, solde ou tiers non consenti apparaît-il?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Incident / confinement.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Niveau de preuve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 niveau est-il justifié par les éléments?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Existence / activité / renforcé.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Partage</w:t>
            </w:r>
          </w:p>
        </w:tc>
        <w:tc>
          <w:tcPr>
            <w:tcW w:type="dxa" w:w="521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 dossier est-il partageable pour la finalité prévue?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 / non / consentement requis.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D4A936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FBF4DA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SLA de QA</w:t>
            </w:r>
          </w:p>
          <w:p>
            <w:pPr>
              <w:pStyle w:val="Callouttext"/>
            </w:pPr>
            <w:r>
              <w:t>Le contrôle initial est réalisé sous 24 heures. Une reprise doit préciser le champ, la raison, le responsable et l’échéance - pas simplement « dossier incomplet ».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10. SOP-07 - création du passeport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Bloc</w:t>
            </w:r>
          </w:p>
        </w:tc>
        <w:tc>
          <w:tcPr>
            <w:tcW w:type="dxa" w:w="419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Contenu</w:t>
            </w:r>
          </w:p>
        </w:tc>
        <w:tc>
          <w:tcPr>
            <w:tcW w:type="dxa" w:w="345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Règle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En-tête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ID, catégorie, zone, date de vérification et statut.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Aucune donnée personnelle non nécessaire.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Résumé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Activité déclarée et faits observés, clairement séparés.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Langage neutre.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Preuves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Liste des types, dates et niveau de contrôle.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Pas de pièce brute par défaut.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Niveau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Existence, activité ou fiabilité renforcée.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Critères affichés.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Alertes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Incohérences non sensibles et limitations.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Pas de jugement opaque.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Consentement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Périmètre de partage et date de fin.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Révocable.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Contact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Uniquement si choisi et nécessaire.</w:t>
            </w:r>
          </w:p>
        </w:tc>
        <w:tc>
          <w:tcPr>
            <w:tcW w:type="dxa" w:w="345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Canal préféré.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11. SOP-08 - accès partenaire et partage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41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Étape</w:t>
            </w:r>
          </w:p>
        </w:tc>
        <w:tc>
          <w:tcPr>
            <w:tcW w:type="dxa" w:w="464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Condition</w:t>
            </w:r>
          </w:p>
        </w:tc>
        <w:tc>
          <w:tcPr>
            <w:tcW w:type="dxa" w:w="328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Trace obligatoire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Engagement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Contrat, bon, paiement ou accord écrit.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Pièce commerciale et finalité.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Sélection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Profils avec consentement compatible.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Liste d’IDs et responsable.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Filtrage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Champs strictement nécessaires.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Version d’export.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Email nommé, lecture seule et durée limitée.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Lien, permissions et dates.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Journal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Profils, champs, destinataire et durée.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Journal_Partages.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Revue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Paiement, retraits, expirations et usage.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Contrôle hebdomadaire.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Clôture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Révocation ou renouvellement.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 et résultat.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12. SOP-09 - retrait, correction et suppression</w:t>
      </w:r>
    </w:p>
    <w:p>
      <w:pPr>
        <w:pStyle w:val="ListNumber"/>
      </w:pPr>
      <w:r>
        <w:t>Enregistrer la demande sans demander de justification inutile.</w:t>
      </w:r>
    </w:p>
    <w:p>
      <w:pPr>
        <w:pStyle w:val="ListNumber"/>
      </w:pPr>
      <w:r>
        <w:t>Vérifier l’identité par une méthode proportionnée et non intrusive.</w:t>
      </w:r>
    </w:p>
    <w:p>
      <w:pPr>
        <w:pStyle w:val="ListNumber"/>
      </w:pPr>
      <w:r>
        <w:t>Suspendre le partage concerné pendant l’analyse lorsque le risque l’exige.</w:t>
      </w:r>
    </w:p>
    <w:p>
      <w:pPr>
        <w:pStyle w:val="ListNumber"/>
      </w:pPr>
      <w:r>
        <w:t>Corriger, retirer ou supprimer selon la politique et les obligations applicables.</w:t>
      </w:r>
    </w:p>
    <w:p>
      <w:pPr>
        <w:pStyle w:val="ListNumber"/>
      </w:pPr>
      <w:r>
        <w:t>Révoquer les accès et informer les destinataires concernés si nécessaire.</w:t>
      </w:r>
    </w:p>
    <w:p>
      <w:pPr>
        <w:pStyle w:val="ListNumber"/>
      </w:pPr>
      <w:r>
        <w:t>Émettre une trace de clôture - demande, action, date, responsable et exceptions.</w:t>
      </w:r>
    </w:p>
    <w:p>
      <w:pPr>
        <w:pStyle w:val="Heading1"/>
        <w:keepNext/>
        <w:pageBreakBefore w:val="0"/>
      </w:pPr>
      <w:r>
        <w:t>13. SOP-10 - incident et escalade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Situation</w:t>
            </w:r>
          </w:p>
        </w:tc>
        <w:tc>
          <w:tcPr>
            <w:tcW w:type="dxa" w:w="351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Action immédiate</w:t>
            </w:r>
          </w:p>
        </w:tc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Escalade</w:t>
            </w:r>
          </w:p>
        </w:tc>
        <w:tc>
          <w:tcPr>
            <w:tcW w:type="dxa" w:w="130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Délai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Doute sur consentement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Arrêter la collecte ou le partage.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 données.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Immédiat.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 interdite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Isoler, bloquer et ne pas copier.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 données + direction.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Immédiat.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Lien public ou mauvais destinataire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Révoquer l’accès et préserver les journaux.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 données.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Immédiat.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Fraude ou doublon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Marquer bloqué; ne pas conclure.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Back-office + opérations.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Même jour.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Conflit ou risque physique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Quitter la zone et contacter le responsable.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 terrain.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Immédiat.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Perte d’appareil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Couper les accès, changer les identifiants et documenter.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 données.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Immédiat.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Demande de retrait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Enregistrer et suspendre le partage si applicable.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 données.</w:t>
            </w:r>
          </w:p>
        </w:tc>
        <w:tc>
          <w:tcPr>
            <w:tcW w:type="dxa" w:w="130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Même jour.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14. Cadence quotidienne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53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Moment</w:t>
            </w:r>
          </w:p>
        </w:tc>
        <w:tc>
          <w:tcPr>
            <w:tcW w:type="dxa" w:w="464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Activité</w:t>
            </w:r>
          </w:p>
        </w:tc>
        <w:tc>
          <w:tcPr>
            <w:tcW w:type="dxa" w:w="317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Sortie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08:00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Brief, zones, objectifs, sécurité et messages.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Plan quotidien signé.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08:30-13:00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Collecte terrain par binôme ou selon le plan.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et alertes.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13:00-14:00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Pause, synchronisation minimale et point sécurité.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État intermédiaire.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14:00-17:00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Collecte, reprises ciblées et rendez-vous.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finalisés.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17:00-18:00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Transmission, nomenclature et contrôle agent.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Lot de fin de journée.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18:00-19:00</w:t>
            </w:r>
          </w:p>
        </w:tc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QA initiale, incidents, chiffres et réallocation.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Dashboard et plan J+1.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15. Plan des sept premiers jours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85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Jour</w:t>
            </w:r>
          </w:p>
        </w:tc>
        <w:tc>
          <w:tcPr>
            <w:tcW w:type="dxa" w:w="368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Priorité</w:t>
            </w:r>
          </w:p>
        </w:tc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Cible indicative</w:t>
            </w:r>
          </w:p>
        </w:tc>
        <w:tc>
          <w:tcPr>
            <w:tcW w:type="dxa" w:w="283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Décision de fin de journée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Formation, simulation et 5 dossiers tests.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5.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Corriger script et formulaire.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2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Première zone, faible cadence.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6-8 par agent.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Vérifier compréhension et sécurité.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3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Deuxième zone et comparaison.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8-10 par agent.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Choisir le meilleur zonage.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4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Stabiliser nommage et QA.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30-35 cumulés.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Réduire les reprises.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5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Premier exemple partenaire.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35-40 cumulés.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Confirmer les champs utiles.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6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Rattrapage ciblé et audit.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Qualité prioritaire.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Fermer les dossiers incomplets.</w:t>
            </w:r>
          </w:p>
        </w:tc>
      </w:tr>
      <w:tr>
        <w:trPr>
          <w:cantSplit/>
        </w:trPr>
        <w:tc>
          <w:tcPr>
            <w:tcW w:type="dxa" w:w="85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7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Revue formelle.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Rapport J7.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Poursuivre ou recalibrer.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16. Contrôle qualité et échantillonnage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Contrôle</w:t>
            </w:r>
          </w:p>
        </w:tc>
        <w:tc>
          <w:tcPr>
            <w:tcW w:type="dxa" w:w="147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Fréquence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Échantillon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Seuil / action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Consentement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Quotidien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100 % des dossiers partageables.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0 absence tolérée.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Données interdites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Quotidien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100 % à l’entrée QA.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Confinement immédiat.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Complétude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Quotidien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100 %.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Reprise avant 24 h.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Cohérence approfondie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Hebdomadaire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10 % minimum, stratifié par agent/zone.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Plan correctif si défaut récurrent.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 partenaires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Hebdomadaire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100 % des accès actifs.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Révoquer tout accès expiré.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Coût et temps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Hebdomadaire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Toutes les journées.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Revoir zones ou cadence.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17. KPI opérationnels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KPI</w:t>
            </w:r>
          </w:p>
        </w:tc>
        <w:tc>
          <w:tcPr>
            <w:tcW w:type="dxa" w:w="413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Formule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Usage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Taux de consentement valide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avec preuve valide / dossiers collectés.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Qualité et légalité.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Taux de complétude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complets / dossiers contrôlés.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Efficacité collecte.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Taux de reprise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à reprendre / dossiers contrôlés.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Formation et formulaire.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Temps de QA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Heure validation - heure transmission.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Capacité back-office.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Coût complet par profil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Toutes charges affectées / profils validés.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Viabilité.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Productivité agent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Profils validés / jours-agent.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Planification.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Taux partageable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Profils partageables / profils validés.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Valeur commerciale.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Incident critique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Nombre par période.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Porte d’arrêt.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18. Checklists de clôture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595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Contrôle agent</w:t>
            </w:r>
          </w:p>
        </w:tc>
        <w:tc>
          <w:tcPr>
            <w:tcW w:type="dxa" w:w="141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Oui / non</w:t>
            </w:r>
          </w:p>
        </w:tc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Commentaire</w:t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Tous les consentements sont enregistrés.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Tous les fichiers portent le bon ID.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Aucune donnée interdite n’est présente.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Les observations et déclarations sont séparées.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Les alertes ont été transmises.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 matériel est sécurisé et les fichiers synchronisés.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595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Contrôle responsable</w:t>
            </w:r>
          </w:p>
        </w:tc>
        <w:tc>
          <w:tcPr>
            <w:tcW w:type="dxa" w:w="141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Oui / non</w:t>
            </w:r>
          </w:p>
        </w:tc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Décision</w:t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QA terminée ou reprises assignées.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Incidents confinés et journalisés.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Réel du jour saisi dans le dashboard.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 et appareils revus.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  <w:tr>
        <w:trPr>
          <w:cantSplit/>
        </w:trPr>
        <w:tc>
          <w:tcPr>
            <w:tcW w:type="dxa" w:w="595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Plan du lendemain ajusté.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19. Sources et documents associés</w:t>
      </w:r>
    </w:p>
    <w:p>
      <w:pPr>
        <w:pStyle w:val="ListBullet"/>
      </w:pPr>
      <w:r>
        <w:t>Manuel de l’équipe terrain.</w:t>
      </w:r>
    </w:p>
    <w:p>
      <w:pPr>
        <w:pStyle w:val="ListBullet"/>
      </w:pPr>
      <w:r>
        <w:t>Politique de gouvernance des données et confidentialité.</w:t>
      </w:r>
    </w:p>
    <w:p>
      <w:pPr>
        <w:pStyle w:val="ListBullet"/>
      </w:pPr>
      <w:r>
        <w:t>Dossier juridique - modèles.</w:t>
      </w:r>
    </w:p>
    <w:p>
      <w:pPr>
        <w:pStyle w:val="ListBullet"/>
      </w:pPr>
      <w:r>
        <w:t>Classeur opérations pilote.</w:t>
      </w:r>
    </w:p>
    <w:p>
      <w:pPr>
        <w:pStyle w:val="ListBullet"/>
      </w:pPr>
      <w:r>
        <w:t>Tableau de bord KPI.</w:t>
      </w:r>
    </w:p>
    <w:p>
      <w:pPr>
        <w:pStyle w:val="Sourcenote"/>
      </w:pPr>
      <w:r>
        <w:t>Pack Dëggal reconstruit, version du 12 juillet 2026 - source interne.</w:t>
      </w:r>
    </w:p>
    <w:sectPr w:rsidR="00FC693F" w:rsidRPr="0006063C" w:rsidSect="00034616">
      <w:headerReference w:type="default" r:id="rId10"/>
      <w:footerReference w:type="default" r:id="rId11"/>
      <w:pgSz w:w="11906" w:h="16838"/>
      <w:pgMar w:top="1134" w:right="1134" w:bottom="1020" w:left="1219" w:header="397" w:footer="369" w:gutter="0"/>
      <w:cols w:space="720"/>
      <w:titlePg/>
      <w:docGrid w:linePitch="36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left"/>
          </w:pPr>
          <w:r>
            <w:rPr>
              <w:color w:val="6D7471"/>
              <w:sz w:val="14"/>
            </w:rPr>
            <w:t>Confidentiel - diffusion contrôlée</w:t>
          </w:r>
        </w:p>
      </w:tc>
      <w:tc>
        <w:tcPr>
          <w:tcW w:type="dxa" w:w="4450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>12 juillet 2026</w:t>
          </w:r>
        </w:p>
      </w:tc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 xml:space="preserve">Page </w:t>
          </w:r>
        </w:p>
      </w:tc>
    </w:tr>
  </w:tbl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left"/>
          </w:pPr>
          <w:r>
            <w:rPr>
              <w:rFonts w:ascii="Carlito" w:hAnsi="Carlito"/>
              <w:b/>
              <w:color w:val="0B5947"/>
              <w:sz w:val="15"/>
            </w:rPr>
            <w:t>DËGGAL</w:t>
          </w:r>
        </w:p>
      </w:tc>
      <w:tc>
        <w:tcPr>
          <w:tcW w:type="dxa" w:w="4450"/>
          <w:tcBorders>
            <w:bottom w:val="single" w:sz="8" w:color="D4A936"/>
          </w:tcBorders>
        </w:tcPr>
        <w:p>
          <w:pPr>
            <w:spacing w:after="40"/>
            <w:jc w:val="center"/>
          </w:pPr>
          <w:r>
            <w:rPr>
              <w:rFonts w:ascii="Carlito" w:hAnsi="Carlito"/>
              <w:b w:val="0"/>
              <w:color w:val="6D7471"/>
              <w:sz w:val="15"/>
            </w:rPr>
            <w:t>Manuel des opérations et procédures</w:t>
          </w:r>
        </w:p>
      </w:tc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right"/>
          </w:pPr>
          <w:r>
            <w:rPr>
              <w:rFonts w:ascii="Carlito" w:hAnsi="Carlito"/>
              <w:b w:val="0"/>
              <w:color w:val="6D7471"/>
              <w:sz w:val="15"/>
            </w:rPr>
            <w:t>Édition consolidée</w:t>
          </w:r>
        </w:p>
      </w:tc>
    </w:tr>
  </w:tbl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10" w:line="271" w:lineRule="auto"/>
    </w:pPr>
    <w:rPr>
      <w:rFonts w:ascii="Carlito" w:hAnsi="Carlito"/>
      <w:color w:val="1F2A26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40"/>
      <w:outlineLvl w:val="0"/>
    </w:pPr>
    <w:rPr>
      <w:rFonts w:asciiTheme="majorHAnsi" w:eastAsiaTheme="majorEastAsia" w:hAnsiTheme="majorHAnsi" w:cstheme="majorBidi" w:ascii="Cabin" w:hAnsi="Cabin"/>
      <w:b/>
      <w:bCs/>
      <w:color w:val="0B5947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Cabin" w:hAnsi="Cabin"/>
      <w:b/>
      <w:bCs/>
      <w:color w:val="C97B4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60"/>
      <w:outlineLvl w:val="2"/>
    </w:pPr>
    <w:rPr>
      <w:rFonts w:asciiTheme="majorHAnsi" w:eastAsiaTheme="majorEastAsia" w:hAnsiTheme="majorHAnsi" w:cstheme="majorBidi" w:ascii="Cabin" w:hAnsi="Cabin"/>
      <w:b/>
      <w:bCs/>
      <w:color w:val="443A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Cabin" w:hAnsi="Cabin"/>
      <w:b/>
      <w:color w:val="0B5947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Cabin" w:hAnsi="Cabin"/>
      <w:b w:val="0"/>
      <w:i/>
      <w:iCs/>
      <w:color w:val="6D7471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Carlito" w:hAnsi="Carlito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Carlito" w:hAnsi="Carlito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40"/>
    </w:pPr>
    <w:rPr>
      <w:rFonts w:ascii="Carlito" w:hAnsi="Carlito"/>
      <w:color w:val="6D7471"/>
      <w:sz w:val="16"/>
    </w:rPr>
  </w:style>
  <w:style w:type="paragraph" w:customStyle="1" w:styleId="Sourcenote">
    <w:name w:val="Source note"/>
    <w:pPr>
      <w:spacing w:before="40" w:after="80"/>
    </w:pPr>
    <w:rPr>
      <w:rFonts w:ascii="Carlito" w:hAnsi="Carlito"/>
      <w:i/>
      <w:color w:val="6D7471"/>
      <w:sz w:val="15"/>
    </w:rPr>
  </w:style>
  <w:style w:type="paragraph" w:customStyle="1" w:styleId="Tabletext">
    <w:name w:val="Table text"/>
    <w:pPr>
      <w:spacing w:after="0" w:line="240" w:lineRule="auto"/>
    </w:pPr>
    <w:rPr>
      <w:rFonts w:ascii="Carlito" w:hAnsi="Carlito"/>
      <w:color w:val="1F2A26"/>
      <w:sz w:val="17"/>
    </w:rPr>
  </w:style>
  <w:style w:type="paragraph" w:customStyle="1" w:styleId="KPIlabel">
    <w:name w:val="KPI label"/>
    <w:pPr>
      <w:spacing w:after="0"/>
    </w:pPr>
    <w:rPr>
      <w:rFonts w:ascii="Carlito" w:hAnsi="Carlito"/>
      <w:b/>
      <w:color w:val="6D7471"/>
      <w:sz w:val="15"/>
    </w:rPr>
  </w:style>
  <w:style w:type="paragraph" w:customStyle="1" w:styleId="KPIvalue">
    <w:name w:val="KPI value"/>
    <w:pPr>
      <w:spacing w:after="20"/>
    </w:pPr>
    <w:rPr>
      <w:rFonts w:ascii="Cabin" w:hAnsi="Cabin"/>
      <w:b/>
      <w:color w:val="0B5947"/>
      <w:sz w:val="32"/>
    </w:rPr>
  </w:style>
  <w:style w:type="paragraph" w:customStyle="1" w:styleId="Callouttitle">
    <w:name w:val="Callout title"/>
    <w:pPr>
      <w:spacing w:after="40"/>
    </w:pPr>
    <w:rPr>
      <w:rFonts w:ascii="Cabin" w:hAnsi="Cabin"/>
      <w:b/>
      <w:color w:val="143B31"/>
      <w:sz w:val="20"/>
    </w:rPr>
  </w:style>
  <w:style w:type="paragraph" w:customStyle="1" w:styleId="Callouttext">
    <w:name w:val="Callout text"/>
    <w:pPr>
      <w:spacing w:after="20"/>
    </w:pPr>
    <w:rPr>
      <w:rFonts w:ascii="Carlito" w:hAnsi="Carlito"/>
      <w:color w:val="1F2A26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