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ÉTUDE DE MARCHÉ</w:t>
      </w:r>
    </w:p>
    <w:p>
      <w:pPr>
        <w:pStyle w:val="Title"/>
        <w:jc w:val="center"/>
      </w:pPr>
      <w:r>
        <w:t>Étude de marché et stratégie</w:t>
      </w:r>
    </w:p>
    <w:p>
      <w:pPr>
        <w:pStyle w:val="Subtitle"/>
        <w:jc w:val="center"/>
      </w:pPr>
      <w:r>
        <w:t>Sénégal, Dakar, segments prioritaires et plan de validation commerciale</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analyse documentaire et hypothèses à tester sur le terrain</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Direction, financeurs, partenariats, marketing et conseil stratégique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MARCHÉ ET VALIDATION</w:t>
      </w:r>
    </w:p>
    <w:p>
      <w:pPr>
        <w:pStyle w:val="Title"/>
        <w:jc w:val="left"/>
      </w:pPr>
      <w:r>
        <w:t>Étude de marché et stratégie</w:t>
      </w:r>
    </w:p>
    <w:p>
      <w:pPr>
        <w:pStyle w:val="Subtitle"/>
        <w:jc w:val="left"/>
      </w:pPr>
      <w:r>
        <w:t>Une étude de marché orientée décision - sans TAM artificiel ni citations non traçables.</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5</w:t>
            </w:r>
          </w:p>
          <w:p>
            <w:pPr>
              <w:pStyle w:val="KPIlabel"/>
              <w:jc w:val="center"/>
            </w:pPr>
            <w:r>
              <w:t>segments évalués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w:t>
            </w:r>
          </w:p>
          <w:p>
            <w:pPr>
              <w:pStyle w:val="KPIlabel"/>
              <w:jc w:val="center"/>
            </w:pPr>
            <w:r>
              <w:t>segments à tester d’abord</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250</w:t>
            </w:r>
          </w:p>
          <w:p>
            <w:pPr>
              <w:pStyle w:val="KPIlabel"/>
              <w:jc w:val="center"/>
            </w:pPr>
            <w:r>
              <w:t>SOM du pilote</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20-30</w:t>
            </w:r>
          </w:p>
          <w:p>
            <w:pPr>
              <w:pStyle w:val="KPIlabel"/>
              <w:jc w:val="center"/>
            </w:pPr>
            <w:r>
              <w:t>entretiens partenaires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10</w:t>
            </w:r>
          </w:p>
          <w:p>
            <w:pPr>
              <w:pStyle w:val="KPIlabel"/>
              <w:jc w:val="center"/>
            </w:pPr>
            <w:r>
              <w:t>organisations candidates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3</w:t>
            </w:r>
          </w:p>
          <w:p>
            <w:pPr>
              <w:pStyle w:val="KPIlabel"/>
              <w:jc w:val="center"/>
            </w:pPr>
            <w:r>
              <w:t>tests de prix</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Conclusion stratégique</w:t>
            </w:r>
          </w:p>
          <w:p>
            <w:pPr>
              <w:pStyle w:val="Callouttext"/>
            </w:pPr>
            <w:r>
              <w:t>Le besoin semble plausible, mais le marché de Dëggal n’est pas encore démontré. La priorité est de mesurer le coût actuel de vérification, l’utilité des champs proposés et la disposition à payer de deux segments précis.</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Périmètre et méthode</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Contexte de marché</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Segmentation</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Personas et tâches à accomplir</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5. Carte des besoins</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6. Dimensionnement TAM - SAM - SOM</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7. Analyse des alternatives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8. PESTEL</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9. SWOT</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10. Positionnement</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11. Plan de recherche et validation</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12. Guide d’entretien partenaire</w:t>
            </w:r>
          </w:p>
        </w:tc>
        <w:tc>
          <w:tcPr>
            <w:tcW w:type="dxa" w:w="4776"/>
            <w:shd w:fill="F2F4F3"/>
            <w:tcMar>
              <w:top w:w="70" w:type="dxa"/>
              <w:start w:w="90" w:type="dxa"/>
              <w:bottom w:w="70" w:type="dxa"/>
              <w:end w:w="90" w:type="dxa"/>
            </w:tcMar>
            <w:tcBorders>
              <w:bottom w:val="single" w:sz="2" w:color="E5E9E7"/>
            </w:tcBorders>
          </w:tcPr>
          <w:p>
            <w:pPr>
              <w:pStyle w:val="Tabletext"/>
              <w:jc w:val="right"/>
            </w:pPr>
            <w:r>
              <w:t>6</w:t>
            </w:r>
          </w:p>
        </w:tc>
      </w:tr>
      <w:tr>
        <w:tc>
          <w:tcPr>
            <w:tcW w:type="dxa" w:w="4776"/>
            <w:shd w:fill="FFFFFF"/>
            <w:tcMar>
              <w:top w:w="70" w:type="dxa"/>
              <w:start w:w="90" w:type="dxa"/>
              <w:bottom w:w="70" w:type="dxa"/>
              <w:end w:w="90" w:type="dxa"/>
            </w:tcMar>
            <w:tcBorders>
              <w:bottom w:val="single" w:sz="2" w:color="E5E9E7"/>
            </w:tcBorders>
          </w:tcPr>
          <w:p>
            <w:pPr>
              <w:pStyle w:val="Tabletext"/>
            </w:pPr>
            <w:r>
              <w:t>13. Organisations candidates - à vérifier</w:t>
            </w:r>
          </w:p>
        </w:tc>
        <w:tc>
          <w:tcPr>
            <w:tcW w:type="dxa" w:w="4776"/>
            <w:shd w:fill="FFFFFF"/>
            <w:tcMar>
              <w:top w:w="70" w:type="dxa"/>
              <w:start w:w="90" w:type="dxa"/>
              <w:bottom w:w="70" w:type="dxa"/>
              <w:end w:w="90" w:type="dxa"/>
            </w:tcMar>
            <w:tcBorders>
              <w:bottom w:val="single" w:sz="2" w:color="E5E9E7"/>
            </w:tcBorders>
          </w:tcPr>
          <w:p>
            <w:pPr>
              <w:pStyle w:val="Tabletext"/>
              <w:jc w:val="right"/>
            </w:pPr>
            <w:r>
              <w:t>6</w:t>
            </w:r>
          </w:p>
        </w:tc>
      </w:tr>
      <w:tr>
        <w:tc>
          <w:tcPr>
            <w:tcW w:type="dxa" w:w="4776"/>
            <w:shd w:fill="F2F4F3"/>
            <w:tcMar>
              <w:top w:w="70" w:type="dxa"/>
              <w:start w:w="90" w:type="dxa"/>
              <w:bottom w:w="70" w:type="dxa"/>
              <w:end w:w="90" w:type="dxa"/>
            </w:tcMar>
            <w:tcBorders>
              <w:bottom w:val="single" w:sz="2" w:color="E5E9E7"/>
            </w:tcBorders>
          </w:tcPr>
          <w:p>
            <w:pPr>
              <w:pStyle w:val="Tabletext"/>
            </w:pPr>
            <w:r>
              <w:t>14. Lacunes de recherche</w:t>
            </w:r>
          </w:p>
        </w:tc>
        <w:tc>
          <w:tcPr>
            <w:tcW w:type="dxa" w:w="4776"/>
            <w:shd w:fill="F2F4F3"/>
            <w:tcMar>
              <w:top w:w="70" w:type="dxa"/>
              <w:start w:w="90" w:type="dxa"/>
              <w:bottom w:w="70" w:type="dxa"/>
              <w:end w:w="90" w:type="dxa"/>
            </w:tcMar>
            <w:tcBorders>
              <w:bottom w:val="single" w:sz="2" w:color="E5E9E7"/>
            </w:tcBorders>
          </w:tcPr>
          <w:p>
            <w:pPr>
              <w:pStyle w:val="Tabletext"/>
              <w:jc w:val="right"/>
            </w:pPr>
            <w:r>
              <w:t>6</w:t>
            </w:r>
          </w:p>
        </w:tc>
      </w:tr>
      <w:tr>
        <w:tc>
          <w:tcPr>
            <w:tcW w:type="dxa" w:w="4776"/>
            <w:shd w:fill="FFFFFF"/>
            <w:tcMar>
              <w:top w:w="70" w:type="dxa"/>
              <w:start w:w="90" w:type="dxa"/>
              <w:bottom w:w="70" w:type="dxa"/>
              <w:end w:w="90" w:type="dxa"/>
            </w:tcMar>
            <w:tcBorders>
              <w:bottom w:val="single" w:sz="2" w:color="E5E9E7"/>
            </w:tcBorders>
          </w:tcPr>
          <w:p>
            <w:pPr>
              <w:pStyle w:val="Tabletext"/>
            </w:pPr>
            <w:r>
              <w:t>15. Sources</w:t>
            </w:r>
          </w:p>
        </w:tc>
        <w:tc>
          <w:tcPr>
            <w:tcW w:type="dxa" w:w="4776"/>
            <w:shd w:fill="FFFFFF"/>
            <w:tcMar>
              <w:top w:w="70" w:type="dxa"/>
              <w:start w:w="90" w:type="dxa"/>
              <w:bottom w:w="70" w:type="dxa"/>
              <w:end w:w="90" w:type="dxa"/>
            </w:tcMar>
            <w:tcBorders>
              <w:bottom w:val="single" w:sz="2" w:color="E5E9E7"/>
            </w:tcBorders>
          </w:tcPr>
          <w:p>
            <w:pPr>
              <w:pStyle w:val="Tabletext"/>
              <w:jc w:val="right"/>
            </w:pPr>
            <w:r>
              <w:t>6</w:t>
            </w:r>
          </w:p>
        </w:tc>
      </w:tr>
    </w:tbl>
    <w:p>
      <w:pPr>
        <w:pStyle w:val="Heading1"/>
        <w:keepNext/>
        <w:pageBreakBefore w:val="0"/>
      </w:pPr>
      <w:r>
        <w:t>1. Périmètre et méthode</w:t>
      </w:r>
    </w:p>
    <w:p>
      <w:r>
        <w:t>Cette étude consolide le pack initial et transforme les constats généraux sur l’informalité et le mobile money en questions commerciales testables. Elle n’utilise pas une estimation descendante de la population pour déclarer un marché adressable. Le dimensionnement est construit à partir des zones accessibles, des catégories ciblées, des partenaires qualifiés et de la capacité opérationnelle.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Source</w:t>
            </w:r>
          </w:p>
        </w:tc>
        <w:tc>
          <w:tcPr>
            <w:tcW w:type="dxa" w:w="402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Usage</w:t>
            </w:r>
          </w:p>
        </w:tc>
        <w:tc>
          <w:tcPr>
            <w:tcW w:type="dxa" w:w="306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Limite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Pack Dëggal initial</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Hypothèses produit, prix, cibles et partenaires.</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Aucune traction historique vérifiée.</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OIT et ANSD</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Contexte de l’emploi et des unités informelles.</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Statistiques à dater et rapprocher du segment précis.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Banque mondiale et BCEAO</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Inclusion financière et environnement de services.</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Ne démontre pas la demande pour Dëggal.</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GSMA</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Adoption et usages du mobile money.</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Les traces de paiement ne sont pas un dossier complet.</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Entretiens du pilote</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Douleurs, coûts, critères et budget.</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Biais de sélection à contrôler.</w:t>
            </w:r>
          </w:p>
        </w:tc>
      </w:tr>
    </w:tbl>
    <w:p>
      <w:pPr>
        <w:spacing w:after="40"/>
      </w:pPr>
    </w:p>
    <w:p>
      <w:pPr>
        <w:pStyle w:val="Heading1"/>
        <w:keepNext/>
        <w:pageBreakBefore w:val="0"/>
      </w:pPr>
      <w:r>
        <w:t>2. Contexte de marché</w:t>
      </w:r>
    </w:p>
    <w:p>
      <w:r>
        <w:t>Dëggal se situe à l’intersection de l’économie informelle, de la digitalisation des paiements, de l’accompagnement des microentreprises et des besoins de contrôle terrain. Ces tendances créent un contexte favorable, mais également des contraintes : faibles marges, hétérogénéité des activités, littératie variable, sensibilité des données et cycles de décision institutionnels longs.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Tendance</w:t>
            </w:r>
          </w:p>
        </w:tc>
        <w:tc>
          <w:tcPr>
            <w:tcW w:type="dxa" w:w="351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Opportunité</w:t>
            </w:r>
          </w:p>
        </w:tc>
        <w:tc>
          <w:tcPr>
            <w:tcW w:type="dxa" w:w="357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Risque pour Dëggal</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Poids des activités informelles</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Large population potentiellement concernée par la preuve d’activité.</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 marché large ne signifie pas un budget disponible.</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Communication mobile et WhatsApp</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Canal connu, utile pour la coordination et les rappels.</w:t>
            </w:r>
          </w:p>
        </w:tc>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Données dispersées, appareils partagés et sécurité variable.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Paiements numériques</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Existence de traces et de flux récurrents.</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Données très sensibles; ne pas demander l’accès complet.</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Programmes d’appui aux MPME</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Besoin de ciblage, suivi et redevabilité.</w:t>
            </w:r>
          </w:p>
        </w:tc>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Marchés publics et programmes peuvent avoir des cycles longs.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Formalisation progressive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Besoin de passerelles vers des dossiers plus structurés.</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 preuve Dëggal ne remplace pas l’immatriculation ou le KYC.</w:t>
            </w:r>
          </w:p>
        </w:tc>
      </w:tr>
    </w:tbl>
    <w:p>
      <w:pPr>
        <w:spacing w:after="40"/>
      </w:pPr>
    </w:p>
    <w:p>
      <w:pPr>
        <w:pStyle w:val="Sourcenote"/>
      </w:pPr>
      <w:r>
        <w:t>OIT - économie informelle: https://www.ilo.org/topics-and-sectors/informal-economy ANSD Sénégal - statistiques et enquêtes nationales: https://www.ansd.sn/ Banque mondiale - Global Findex 2021: https://www.worldbank.org/en/publication/globalfindex BCEAO - publications sur l’inclusion financière dans l’UEMOA: https://www.bceao.int/ GSMA - State of the Industry Report on Mobile Money: https://www.gsma.com/sotir/</w:t>
      </w:r>
    </w:p>
    <w:p>
      <w:pPr>
        <w:pStyle w:val="Heading1"/>
        <w:keepNext/>
        <w:pageBreakBefore w:val="0"/>
      </w:pPr>
      <w:r>
        <w:t>3. Segmentation</w:t>
      </w:r>
    </w:p>
    <w:tbl>
      <w:tblPr>
        <w:tblW w:type="auto" w:w="0"/>
        <w:jc w:val="center"/>
        <w:tblLayout w:type="fixed"/>
        <w:tblLook w:firstColumn="1" w:firstRow="1" w:lastColumn="0" w:lastRow="0" w:noHBand="0" w:noVBand="1" w:val="04A0"/>
      </w:tblPr>
      <w:tblGrid>
        <w:gridCol w:w="1592"/>
        <w:gridCol w:w="1592"/>
        <w:gridCol w:w="1592"/>
        <w:gridCol w:w="1592"/>
        <w:gridCol w:w="1592"/>
        <w:gridCol w:w="1592"/>
      </w:tblGrid>
      <w:tr>
        <w:trPr>
          <w:tblHeader w:val="true"/>
        </w:trPr>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Segment</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Utilisateur acheteur</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Cas d’usage</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Budget probable</w:t>
            </w:r>
          </w:p>
        </w:tc>
        <w:tc>
          <w:tcPr>
            <w:tcW w:type="dxa" w:w="102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Cycle de vente</w:t>
            </w:r>
          </w:p>
        </w:tc>
        <w:tc>
          <w:tcPr>
            <w:tcW w:type="dxa" w:w="56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Priorité</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Programmes publics / ONG</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Responsable programme, suivi-évaluation ou opérations.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Vérifier bénéficiaires, membres ou activités financées.</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À confirmer par appel d’offres ou pilote.</w:t>
            </w:r>
          </w:p>
        </w:tc>
        <w:tc>
          <w:tcPr>
            <w:tcW w:type="dxa" w:w="10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Moyen à long.</w:t>
            </w:r>
          </w:p>
        </w:tc>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1</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Fournisseurs / grossistes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Direction commerciale ou distribution.</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Identifier revendeurs actifs par zone et catégorie.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Budget commercial si gain de couverture.</w:t>
            </w:r>
          </w:p>
        </w:tc>
        <w:tc>
          <w:tcPr>
            <w:tcW w:type="dxa" w:w="10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Court à moyen.</w:t>
            </w:r>
          </w:p>
        </w:tc>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1</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Finance / garantie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Risque, opérations ou inclusion.</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Améliorer un pré-dossier et réduire une visite.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Budget conditionné à conformité et utilité.</w:t>
            </w:r>
          </w:p>
        </w:tc>
        <w:tc>
          <w:tcPr>
            <w:tcW w:type="dxa" w:w="10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Long.</w:t>
            </w:r>
          </w:p>
        </w:tc>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2</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Incubateurs / associations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Programme ou communauté.</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Actualiser et suivre les activités accompagnées.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Souvent limité ou financé par projet.</w:t>
            </w:r>
          </w:p>
        </w:tc>
        <w:tc>
          <w:tcPr>
            <w:tcW w:type="dxa" w:w="10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Moyen.</w:t>
            </w:r>
          </w:p>
        </w:tc>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2</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Acheteurs / équipementiers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Sourcing, distribution ou programme d’actifs.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Vérifier existence et capacité avant engagement.</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Sur devis.</w:t>
            </w:r>
          </w:p>
        </w:tc>
        <w:tc>
          <w:tcPr>
            <w:tcW w:type="dxa" w:w="10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Moyen.</w:t>
            </w:r>
          </w:p>
        </w:tc>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3</w:t>
            </w:r>
          </w:p>
        </w:tc>
      </w:tr>
    </w:tbl>
    <w:p>
      <w:pPr>
        <w:spacing w:after="40"/>
      </w:pPr>
    </w:p>
    <w:p>
      <w:pPr>
        <w:pStyle w:val="Heading1"/>
        <w:keepNext/>
        <w:pageBreakBefore w:val="0"/>
      </w:pPr>
      <w:r>
        <w:t>4. Personas et tâches à accomplir</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Persona</w:t>
            </w:r>
          </w:p>
        </w:tc>
        <w:tc>
          <w:tcPr>
            <w:tcW w:type="dxa" w:w="408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Tâche principale</w:t>
            </w:r>
          </w:p>
        </w:tc>
        <w:tc>
          <w:tcPr>
            <w:tcW w:type="dxa" w:w="328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Critères de succès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Awa - commerçante de marché</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Je veux présenter mon activité sans remplir un long dossier ni perdre le contrôle de mes informations. »</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Temps court, langue orale, confiance, absence de promesse.</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Moussa - responsable réseau fournisseur</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Je dois trouver des revendeurs actifs dans deux zones sans mobiliser mon équipe pendant une semaine. »</w:t>
            </w:r>
          </w:p>
        </w:tc>
        <w:tc>
          <w:tcPr>
            <w:tcW w:type="dxa" w:w="328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Catégorie, localisation, activité récente et contact consenti.</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Fatou - responsable programme</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Je dois démontrer que les bénéficiaires existent et suivent réellement l’activité financée. »</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Auditabilité, date, preuve, consentement et rapport.</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Ibrahima - responsable risque</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Je veux un pré-dossier proportionné sans confondre preuve d’activité et solvabilité. »</w:t>
            </w:r>
          </w:p>
        </w:tc>
        <w:tc>
          <w:tcPr>
            <w:tcW w:type="dxa" w:w="328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Qualité, limites, intégrité des données et traçabilité.</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Ndeye - agent terrain</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Je dois collecter vite sans mettre le commerçant ni l’organisation en risque. »</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Script clair, outils hors connexion, sécurité et escalade.</w:t>
            </w:r>
          </w:p>
        </w:tc>
      </w:tr>
    </w:tbl>
    <w:p>
      <w:pPr>
        <w:spacing w:after="40"/>
      </w:pPr>
    </w:p>
    <w:p>
      <w:pPr>
        <w:pStyle w:val="Heading1"/>
        <w:keepNext/>
        <w:pageBreakBefore w:val="0"/>
      </w:pPr>
      <w:r>
        <w:t>5. Carte des besoins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Besoin</w:t>
            </w:r>
          </w:p>
        </w:tc>
        <w:tc>
          <w:tcPr>
            <w:tcW w:type="dxa" w:w="153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Importance supposée</w:t>
            </w:r>
          </w:p>
        </w:tc>
        <w:tc>
          <w:tcPr>
            <w:tcW w:type="dxa" w:w="266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Solution actuelle</w:t>
            </w:r>
          </w:p>
        </w:tc>
        <w:tc>
          <w:tcPr>
            <w:tcW w:type="dxa" w:w="277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Question de validation</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Prouver qu’une activité existe</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Visite, référence locale ou photo WhatsApp.</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Le passeport réduit-il réellement la vérification?</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Prouver une activité récente</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Reçu, stock, appel au fournisseur.</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Quel niveau de preuve est jugé suffisant?</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Trouver des commerçants par zone</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Moyenne à élevée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Réseaux, associations, agents commerciaux.</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Le filtrage vaut-il un abonnement?</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Mettre à jour un dossier</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Moyenne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Nouvelle visite ou appel informel.</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Qui paie la revisite et à quelle fréquence?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Partager sans exposer le brut</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PDF envoyé ou Drive partagé.</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Le partenaire accepte-t-il une vue limitée?</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Suivre une cohorte</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Variable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Tableur programme.</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Quels indicateurs et quelle périodicité?</w:t>
            </w:r>
          </w:p>
        </w:tc>
      </w:tr>
    </w:tbl>
    <w:p>
      <w:pPr>
        <w:spacing w:after="40"/>
      </w:pPr>
    </w:p>
    <w:p>
      <w:pPr>
        <w:pStyle w:val="Heading1"/>
        <w:keepNext/>
        <w:pageBreakBefore w:val="0"/>
      </w:pPr>
      <w:r>
        <w:t>6. Dimensionnement TAM - SAM - SOM</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Approche retenue</w:t>
            </w:r>
          </w:p>
          <w:p>
            <w:pPr>
              <w:pStyle w:val="Callouttext"/>
            </w:pPr>
            <w:r>
              <w:t>Le TAM national n’est pas chiffré dans la version externe tant qu’une source officielle récente et une définition précise de l’unité économique cible ne sont pas validées.</w:t>
            </w:r>
          </w:p>
        </w:tc>
      </w:tr>
    </w:tbl>
    <w:p>
      <w:pPr>
        <w:spacing w:after="20" w:before="0"/>
      </w:pP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Niveau</w:t>
            </w:r>
          </w:p>
        </w:tc>
        <w:tc>
          <w:tcPr>
            <w:tcW w:type="dxa" w:w="317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Définition Dëggal</w:t>
            </w:r>
          </w:p>
        </w:tc>
        <w:tc>
          <w:tcPr>
            <w:tcW w:type="dxa" w:w="306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Méthode de calcul</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Valeur</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TAM</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Toutes les activités économiques pouvant avoir besoin d’un dossier de preuve au Sénégal.</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Sources officielles + filtrage par activité, taille et besoin.</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Non chiffré - recherche à compléter.</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SAM</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Marchands et artisans de Dakar accessibles par le modèle terrain et pertinents pour les partenaires prioritaires.</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Nombre de zones x unités par zone x catégories éligibles.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Fourchette à établir par comptage et partenaires.</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SOM 30 jours</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Volume atteignable et contrôlable par l’équipe pilote.</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Capacité agents x jours x taux de qualité.</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250 ciblés; 200 partageables visés.</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SOM 12 mois</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Volume compatible avec partenaires payants, effectifs et outils.</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Commandes payantes + capacité réelle.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Calculé dans le modèle 36 mois, non garanti.</w:t>
            </w:r>
          </w:p>
        </w:tc>
      </w:tr>
    </w:tbl>
    <w:p>
      <w:pPr>
        <w:spacing w:after="40"/>
      </w:pPr>
    </w:p>
    <w:p>
      <w:r>
        <w:t>Le SOM doit être inférieur à la capacité brute afin de préserver la QA, les reprises, la sécurité et les rendez-vous partenaires. Le volume ne doit jamais être augmenté simplement pour améliorer une présentation.</w:t>
      </w:r>
    </w:p>
    <w:p>
      <w:pPr>
        <w:pStyle w:val="Heading1"/>
        <w:keepNext/>
        <w:pageBreakBefore w:val="0"/>
      </w:pPr>
      <w:r>
        <w:t>7. Analyse des alternatives</w:t>
      </w:r>
    </w:p>
    <w:tbl>
      <w:tblPr>
        <w:tblW w:type="auto" w:w="0"/>
        <w:jc w:val="center"/>
        <w:tblLayout w:type="fixed"/>
        <w:tblLook w:firstColumn="1" w:firstRow="1" w:lastColumn="0" w:lastRow="0" w:noHBand="0" w:noVBand="1" w:val="04A0"/>
      </w:tblPr>
      <w:tblGrid>
        <w:gridCol w:w="1911"/>
        <w:gridCol w:w="1911"/>
        <w:gridCol w:w="1911"/>
        <w:gridCol w:w="1911"/>
        <w:gridCol w:w="1911"/>
      </w:tblGrid>
      <w:tr>
        <w:trPr>
          <w:tblHeader w:val="true"/>
        </w:trPr>
        <w:tc>
          <w:tcPr>
            <w:tcW w:type="dxa" w:w="158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Catégorie</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Exemple fonctionnel</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Avantage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Faiblesse</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Implication</w:t>
            </w:r>
          </w:p>
        </w:tc>
      </w:tr>
      <w:tr>
        <w:trPr>
          <w:cantSplit/>
        </w:trPr>
        <w:tc>
          <w:tcPr>
            <w:tcW w:type="dxa" w:w="15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Équipe terrain interne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Agents du partenaire.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Connaissance du programme.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Coût et faible standardisation.</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Vendre un gain mesurable, pas seulement un rapport.</w:t>
            </w:r>
          </w:p>
        </w:tc>
      </w:tr>
      <w:tr>
        <w:trPr>
          <w:cantSplit/>
        </w:trPr>
        <w:tc>
          <w:tcPr>
            <w:tcW w:type="dxa" w:w="15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Cabinet d’enquête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Collecte ponctuelle.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Capacité et méthodologie.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Peu de dossier réutilisable par le commerçant.</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Différencier par consentement et passeport.</w:t>
            </w:r>
          </w:p>
        </w:tc>
      </w:tr>
      <w:tr>
        <w:trPr>
          <w:cantSplit/>
        </w:trPr>
        <w:tc>
          <w:tcPr>
            <w:tcW w:type="dxa" w:w="15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Annuaire / registre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Liste d’entreprises.</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Recherche rapide.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Actualisation et preuve limitées.</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Ajouter date, niveau de preuve et statut.</w:t>
            </w:r>
          </w:p>
        </w:tc>
      </w:tr>
      <w:tr>
        <w:trPr>
          <w:cantSplit/>
        </w:trPr>
        <w:tc>
          <w:tcPr>
            <w:tcW w:type="dxa" w:w="15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KYC / onboarding</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Contrôle documentaire.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Processus réglementé.</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Finalité et documents différents.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Rester complémentaire.</w:t>
            </w:r>
          </w:p>
        </w:tc>
      </w:tr>
      <w:tr>
        <w:trPr>
          <w:cantSplit/>
        </w:trPr>
        <w:tc>
          <w:tcPr>
            <w:tcW w:type="dxa" w:w="15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Notation communautaire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Références du marché.</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Contexte local.</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Biais et conflits.</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Recouper et documenter.</w:t>
            </w:r>
          </w:p>
        </w:tc>
      </w:tr>
      <w:tr>
        <w:trPr>
          <w:cantSplit/>
        </w:trPr>
        <w:tc>
          <w:tcPr>
            <w:tcW w:type="dxa" w:w="15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Données transactionnelles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Historique de paiements.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Signal quantitatif.</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Sensible et incomplet.</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Ne collecter que si nécessaire et légalement validé.</w:t>
            </w:r>
          </w:p>
        </w:tc>
      </w:tr>
    </w:tbl>
    <w:p>
      <w:pPr>
        <w:spacing w:after="40"/>
      </w:pPr>
    </w:p>
    <w:p>
      <w:pPr>
        <w:pStyle w:val="Heading1"/>
        <w:keepNext/>
        <w:pageBreakBefore w:val="0"/>
      </w:pPr>
      <w:r>
        <w:t>8. PESTEL</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41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Facteur</w:t>
            </w:r>
          </w:p>
        </w:tc>
        <w:tc>
          <w:tcPr>
            <w:tcW w:type="dxa" w:w="379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Opportunité</w:t>
            </w:r>
          </w:p>
        </w:tc>
        <w:tc>
          <w:tcPr>
            <w:tcW w:type="dxa" w:w="413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Risque / réponse</w:t>
            </w:r>
          </w:p>
        </w:tc>
      </w:tr>
      <w:tr>
        <w:trPr>
          <w:cantSplit/>
        </w:trPr>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Politique</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Priorité publique possible pour l’emploi, l’entrepreneuriat et l’inclusion.</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Dépendance aux programmes et changements de priorités.</w:t>
            </w:r>
          </w:p>
        </w:tc>
      </w:tr>
      <w:tr>
        <w:trPr>
          <w:cantSplit/>
        </w:trPr>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Économique</w:t>
            </w:r>
          </w:p>
        </w:tc>
        <w:tc>
          <w:tcPr>
            <w:tcW w:type="dxa" w:w="379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Besoin de réduire les coûts d’onboarding et de ciblage.</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Faible budget de certains segments; macroéconomie volatile.</w:t>
            </w:r>
          </w:p>
        </w:tc>
      </w:tr>
      <w:tr>
        <w:trPr>
          <w:cantSplit/>
        </w:trPr>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Social</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Forte importance de la confiance, de l’oral et des réseaux.</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Méfiance, confusion avec le crédit et risques d’exclusion.</w:t>
            </w:r>
          </w:p>
        </w:tc>
      </w:tr>
      <w:tr>
        <w:trPr>
          <w:cantSplit/>
        </w:trPr>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Technologique</w:t>
            </w:r>
          </w:p>
        </w:tc>
        <w:tc>
          <w:tcPr>
            <w:tcW w:type="dxa" w:w="379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Outils mobiles, QR, stockage et portails légers disponibles.</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Connectivité, sécurité, appareils partagés et dette technique.</w:t>
            </w:r>
          </w:p>
        </w:tc>
      </w:tr>
      <w:tr>
        <w:trPr>
          <w:cantSplit/>
        </w:trPr>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Environnemental</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Zonage et déplacements peuvent optimiser les trajets.</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Chaleur, pluie, sécurité et empreinte des visites.</w:t>
            </w:r>
          </w:p>
        </w:tc>
      </w:tr>
      <w:tr>
        <w:trPr>
          <w:cantSplit/>
        </w:trPr>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Légal</w:t>
            </w:r>
          </w:p>
        </w:tc>
        <w:tc>
          <w:tcPr>
            <w:tcW w:type="dxa" w:w="379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Cadre de protection des données et obligations contractuelles.</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Formalités, conservation, transferts et responsabilité à valider.</w:t>
            </w:r>
          </w:p>
        </w:tc>
      </w:tr>
    </w:tbl>
    <w:p>
      <w:pPr>
        <w:spacing w:after="40"/>
      </w:pPr>
    </w:p>
    <w:p>
      <w:pPr>
        <w:pStyle w:val="Heading1"/>
        <w:keepNext/>
        <w:pageBreakBefore w:val="0"/>
      </w:pPr>
      <w:r>
        <w:t>9. SWOT</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Forces</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Faiblesses</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Opportunités</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Menaces</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Expérience assistée adaptée à l’oral.</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Aucune traction historique démontrée.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Besoin de contrôle terrain chez plusieurs segments.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Incident de données ou réputationnel.</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Séparation entre preuve et décision.</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Coût humain initial élevé.</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Réutilisation consentie d’un dossier.</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Partenaires demandant des données excessives.</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Démarrage manuel avant technologie lourde.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Dépendance au fondateur et aux agents.</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Services de suivi et revisite.</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Cycles institutionnels longs.</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Accès filtré et journalisé.</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Modèle de prix non validé.</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Interopérabilité future avec acteurs de confiance.</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Concurrence par services d’enquête ou outils internes.</w:t>
            </w:r>
          </w:p>
        </w:tc>
      </w:tr>
    </w:tbl>
    <w:p>
      <w:pPr>
        <w:spacing w:after="40"/>
      </w:pPr>
    </w:p>
    <w:p>
      <w:pPr>
        <w:pStyle w:val="Heading1"/>
        <w:keepNext/>
        <w:pageBreakBefore w:val="0"/>
      </w:pPr>
      <w:r>
        <w:t>10. Positionnement</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443A78"/>
            <w:tcMar>
              <w:top w:w="110" w:type="dxa"/>
              <w:start w:w="130" w:type="dxa"/>
              <w:bottom w:w="110" w:type="dxa"/>
              <w:end w:w="130" w:type="dxa"/>
            </w:tcMar>
            <w:tcBorders>
              <w:top w:val="nil"/>
              <w:left w:val="nil"/>
              <w:bottom w:val="nil"/>
              <w:right w:val="nil"/>
            </w:tcBorders>
          </w:tcPr>
          <w:p/>
        </w:tc>
        <w:tc>
          <w:tcPr>
            <w:tcW w:type="dxa" w:w="9072"/>
            <w:shd w:fill="EEEAF8"/>
            <w:tcMar>
              <w:top w:w="110" w:type="dxa"/>
              <w:start w:w="130" w:type="dxa"/>
              <w:bottom w:w="110" w:type="dxa"/>
              <w:end w:w="130" w:type="dxa"/>
            </w:tcMar>
            <w:tcBorders>
              <w:top w:val="nil"/>
              <w:left w:val="nil"/>
              <w:bottom w:val="nil"/>
              <w:right w:val="nil"/>
            </w:tcBorders>
          </w:tcPr>
          <w:p>
            <w:pPr>
              <w:pStyle w:val="Callouttitle"/>
            </w:pPr>
            <w:r>
              <w:t>Position recommandée</w:t>
            </w:r>
          </w:p>
          <w:p>
            <w:pPr>
              <w:pStyle w:val="Callouttext"/>
            </w:pPr>
            <w:r>
              <w:t>Dëggal n’évalue pas la valeur d’une personne. Il documente, avec son accord, des faits observables sur une activité à une date donnée et en expose clairement les limites.</w:t>
            </w:r>
          </w:p>
        </w:tc>
      </w:tr>
    </w:tbl>
    <w:p>
      <w:pPr>
        <w:spacing w:after="20" w:before="0"/>
      </w:pPr>
    </w:p>
    <w:tbl>
      <w:tblPr>
        <w:tblW w:type="auto" w:w="0"/>
        <w:jc w:val="center"/>
        <w:tblLayout w:type="fixed"/>
        <w:tblLook w:firstColumn="1" w:firstRow="1" w:lastColumn="0" w:lastRow="0" w:noHBand="0" w:noVBand="1" w:val="04A0"/>
      </w:tblPr>
      <w:tblGrid>
        <w:gridCol w:w="4776"/>
        <w:gridCol w:w="4776"/>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Élément</w:t>
            </w:r>
          </w:p>
        </w:tc>
        <w:tc>
          <w:tcPr>
            <w:tcW w:type="dxa" w:w="708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Message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Promesse</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Prouvez que votre activité est réelle - sans perdre le contrôle de vos informations.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Pour le partenaire</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Réduisez le temps de vérification grâce à des profils datés, consentis et auditables.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Différenciation</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Collecte assistée, contrôle humain, partage minimal et réutilisation autorisée.</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Preuve</w:t>
            </w:r>
          </w:p>
        </w:tc>
        <w:tc>
          <w:tcPr>
            <w:tcW w:type="dxa" w:w="70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Date, source, niveau et journal - pas une note opaque.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Interdit</w:t>
            </w:r>
          </w:p>
        </w:tc>
        <w:tc>
          <w:tcPr>
            <w:tcW w:type="dxa" w:w="70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Aucune promesse de prêt, subvention, contrat ou sélection.</w:t>
            </w:r>
          </w:p>
        </w:tc>
      </w:tr>
    </w:tbl>
    <w:p>
      <w:pPr>
        <w:spacing w:after="40"/>
      </w:pPr>
    </w:p>
    <w:p>
      <w:pPr>
        <w:pStyle w:val="Heading1"/>
        <w:keepNext/>
        <w:pageBreakBefore w:val="0"/>
      </w:pPr>
      <w:r>
        <w:t>11. Plan de recherche et validation</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Test</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Échantillon</w:t>
            </w:r>
          </w:p>
        </w:tc>
        <w:tc>
          <w:tcPr>
            <w:tcW w:type="dxa" w:w="357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Mesure</w:t>
            </w:r>
          </w:p>
        </w:tc>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Seuil de décision</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Test problème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20-30 entretiens</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Coût actuel, fréquence, champs, décideur, budget.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 moins 10 douleurs précises et comparables.</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Test prototype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3 profils fictifs/anonymisés</w:t>
            </w:r>
          </w:p>
        </w:tc>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Utilité, compréhension, champs manquants.</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Retour écrit et choix du format.</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Test prix</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15k ponctuel, 25k mensuel, devis campagne</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Réaction, budget et conditions.</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 moins une offre acceptée ou objection chiffrée.</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Test opérationnel</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250 marchands</w:t>
            </w:r>
          </w:p>
        </w:tc>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Temps, complétude, reprises, sécurité.</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Coût complet et qualité au seuil.</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Test commercial</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 segments</w:t>
            </w:r>
          </w:p>
        </w:tc>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Cycle, conversion et encaissement.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Paiement, contrat, bon ou LOI forte.</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Test rétention</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Phase 2</w:t>
            </w:r>
          </w:p>
        </w:tc>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Renouvellement, revisites et usage.</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Usage répété et revenu encaissé.</w:t>
            </w:r>
          </w:p>
        </w:tc>
      </w:tr>
    </w:tbl>
    <w:p>
      <w:pPr>
        <w:spacing w:after="40"/>
      </w:pPr>
    </w:p>
    <w:p>
      <w:pPr>
        <w:pStyle w:val="Heading1"/>
        <w:keepNext/>
        <w:pageBreakBefore w:val="0"/>
      </w:pPr>
      <w:r>
        <w:t>12. Guide d’entretien partenaire</w:t>
      </w:r>
    </w:p>
    <w:p>
      <w:pPr>
        <w:pStyle w:val="ListNumber"/>
      </w:pPr>
      <w:r>
        <w:t>Quel type de commerçant ou d’activité devez-vous vérifier?</w:t>
      </w:r>
    </w:p>
    <w:p>
      <w:pPr>
        <w:pStyle w:val="ListNumber"/>
      </w:pPr>
      <w:r>
        <w:t>Comment le faites-vous aujourd’hui, avec combien de personnes et de jours?</w:t>
      </w:r>
    </w:p>
    <w:p>
      <w:pPr>
        <w:pStyle w:val="ListNumber"/>
      </w:pPr>
      <w:r>
        <w:t>Quelles erreurs ou fraudes rencontrez-vous?</w:t>
      </w:r>
    </w:p>
    <w:p>
      <w:pPr>
        <w:pStyle w:val="ListNumber"/>
      </w:pPr>
      <w:r>
        <w:t>Quelles informations sont indispensables et lesquelles sont seulement utiles?</w:t>
      </w:r>
    </w:p>
    <w:p>
      <w:pPr>
        <w:pStyle w:val="ListNumber"/>
      </w:pPr>
      <w:r>
        <w:t>Que ne souhaitez-vous pas recevoir pour des raisons de risque ou de confidentialité?</w:t>
      </w:r>
    </w:p>
    <w:p>
      <w:pPr>
        <w:pStyle w:val="ListNumber"/>
      </w:pPr>
      <w:r>
        <w:t>Qui décide, qui utilise le dossier et qui paie?</w:t>
      </w:r>
    </w:p>
    <w:p>
      <w:pPr>
        <w:pStyle w:val="ListNumber"/>
      </w:pPr>
      <w:r>
        <w:t>Quel petit pilote serait suffisamment limité pour être autorisé rapidement?</w:t>
      </w:r>
    </w:p>
    <w:p>
      <w:pPr>
        <w:pStyle w:val="ListNumber"/>
      </w:pPr>
      <w:r>
        <w:t>Quel résultat justifierait un renouvellement?</w:t>
      </w:r>
    </w:p>
    <w:p>
      <w:pPr>
        <w:pStyle w:val="Heading1"/>
        <w:keepNext/>
        <w:pageBreakBefore w:val="0"/>
      </w:pPr>
      <w:r>
        <w:t>13. Organisations candidates - à vérifier</w:t>
      </w:r>
    </w:p>
    <w:p>
      <w:r>
        <w:t>La liste ci-dessous provient du pack initial. L’existence, le mandat, le programme actif, le contact et les conditions d’éligibilité doivent être vérifiés sur les canaux officiels avant toute approche.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Organisation candidate</w:t>
            </w:r>
          </w:p>
        </w:tc>
        <w:tc>
          <w:tcPr>
            <w:tcW w:type="dxa" w:w="413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Angle de discussion</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Demande initiale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ADEPME</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Appui et accompagnement des TPE/PME.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Entretien sur besoins de preuve et programme pilote.</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DER/FJ</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Entrepreneuriat des femmes et des jeunes.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Pilote conditionnel ou orientation.</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CCIAD</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Réseau commerce et accès terrain.</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Introduction à des marchés et associations.</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ANPEJ</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Insertion et agents terrain.</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Appui aux compétences et recrutement.</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FONGIP</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Pré-dossiers MPME et garantie.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Critères utiles avant accompagnement.</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Chambre de métiers de Dakar</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Artisans et ateliers.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Cohorte limitée d’artisans.</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CTIC Dakar</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Incubation et technologie.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Mentorat produit et connexions.</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Jokkolabs Dakar</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Écosystème entrepreneurial.</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Feedback et introductions.</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Orange Corners Sénégal</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Accompagnement entrepreneurial.</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Éligibilité et retour impact.</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ACEP Sénégal</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Microfinance et pré-dossiers.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Champs manquants dans les dossiers.</w:t>
            </w:r>
          </w:p>
        </w:tc>
      </w:tr>
    </w:tbl>
    <w:p>
      <w:pPr>
        <w:spacing w:after="40"/>
      </w:pPr>
    </w:p>
    <w:p>
      <w:pPr>
        <w:pStyle w:val="Heading1"/>
        <w:keepNext/>
        <w:pageBreakBefore w:val="0"/>
      </w:pPr>
      <w:r>
        <w:t>14. Lacunes de recherche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Lacune</w:t>
            </w:r>
          </w:p>
        </w:tc>
        <w:tc>
          <w:tcPr>
            <w:tcW w:type="dxa" w:w="453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Méthode de fermeture</w:t>
            </w:r>
          </w:p>
        </w:tc>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Propriétaire</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Nombre actuel d’unités économiques cibles à Dakar</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Extraction ANSD/registre + comptage dans les zones.</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Stratégie / recherche</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Coût actuel de vérification par segment</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Entretiens et observation du processus partenaire.</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Partenariats</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Disposition à payer</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Propositions et paiements - pas sondage seul.</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Partenariats / finance</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Taux d’acceptation commerçant</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Pilote et analyse par zone, langue, genre et catégorie.</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Opérations</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Fréquence optimale de mise à jour</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Usage réel et demandes de revisite.</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Produit</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Exigences juridiques par cas d’usage</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Avis juridique et échanges avec autorités compétentes.</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 données</w:t>
            </w:r>
          </w:p>
        </w:tc>
      </w:tr>
    </w:tbl>
    <w:p>
      <w:pPr>
        <w:spacing w:after="40"/>
      </w:pPr>
    </w:p>
    <w:p>
      <w:pPr>
        <w:pStyle w:val="Heading1"/>
        <w:keepNext/>
        <w:pageBreakBefore w:val="0"/>
      </w:pPr>
      <w:r>
        <w:t>15. Sources</w:t>
      </w:r>
    </w:p>
    <w:p>
      <w:pPr>
        <w:pStyle w:val="Sourcenote"/>
      </w:pPr>
      <w:r>
        <w:t>Pack Dëggal reconstruit, version du 12 juillet 2026 - source interne.</w:t>
      </w:r>
    </w:p>
    <w:p>
      <w:pPr>
        <w:pStyle w:val="Sourcenote"/>
      </w:pPr>
      <w:r>
        <w:t>OIT - économie informelle: https://www.ilo.org/topics-and-sectors/informal-economy</w:t>
      </w:r>
    </w:p>
    <w:p>
      <w:pPr>
        <w:pStyle w:val="Sourcenote"/>
      </w:pPr>
      <w:r>
        <w:t>ANSD Sénégal - statistiques et enquêtes nationales: https://www.ansd.sn/</w:t>
      </w:r>
    </w:p>
    <w:p>
      <w:pPr>
        <w:pStyle w:val="Sourcenote"/>
      </w:pPr>
      <w:r>
        <w:t>Banque mondiale - Global Findex 2021: https://www.worldbank.org/en/publication/globalfindex</w:t>
      </w:r>
    </w:p>
    <w:p>
      <w:pPr>
        <w:pStyle w:val="Sourcenote"/>
      </w:pPr>
      <w:r>
        <w:t>GSMA - State of the Industry Report on Mobile Money: https://www.gsma.com/sotir/</w:t>
      </w:r>
    </w:p>
    <w:p>
      <w:pPr>
        <w:pStyle w:val="Sourcenote"/>
      </w:pPr>
      <w:r>
        <w:t>BCEAO - publications sur l’inclusion financière dans l’UEMOA: https://www.bceao.int/</w:t>
      </w:r>
    </w:p>
    <w:p>
      <w:pPr>
        <w:pStyle w:val="Sourcenote"/>
      </w:pPr>
      <w:r>
        <w:t>Commission de protection des données personnelles du Sénégal: https://www.cdp.sn/</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Règle d’actualisation</w:t>
            </w:r>
          </w:p>
          <w:p>
            <w:pPr>
              <w:pStyle w:val="Callouttext"/>
            </w:pPr>
            <w:r>
              <w:t>Avant toute soumission externe, inscrire pour chaque statistique le titre exact, l’organisme, l’année, la page ou le tableau et la date de consultation.</w:t>
            </w:r>
          </w:p>
        </w:tc>
      </w:tr>
    </w:tbl>
    <w:p>
      <w:pPr>
        <w:spacing w:after="20" w:before="0"/>
      </w:pP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Étude de marché et stratégie</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