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00"/>
        <w:jc w:val="center"/>
      </w:pPr>
      <w:r>
        <w:rPr>
          <w:rFonts w:ascii="Cabin" w:hAnsi="Cabin"/>
          <w:b/>
          <w:color w:val="0B5947"/>
          <w:sz w:val="24"/>
        </w:rPr>
        <w:t>DËGGAL</w:t>
      </w:r>
    </w:p>
    <w:p>
      <w:pPr>
        <w:spacing w:after="240"/>
        <w:jc w:val="center"/>
      </w:pPr>
      <w:r>
        <w:rPr>
          <w:sz w:val="15"/>
        </w:rPr>
        <w:t>INFRASTRUCTURE DE PREUVE POUR LES ACTIVITÉS ÉCONOMIQUES INFORMELLES</w:t>
      </w:r>
    </w:p>
    <w:p>
      <w:pPr>
        <w:jc w:val="center"/>
      </w:pPr>
      <w:r/>
    </w:p>
    <w:p>
      <w:pPr>
        <w:spacing w:before="160" w:after="60"/>
        <w:jc w:val="center"/>
      </w:pPr>
      <w:r>
        <w:rPr>
          <w:rFonts w:ascii="Cabin" w:hAnsi="Cabin"/>
          <w:b/>
          <w:color w:val="D4A936"/>
          <w:sz w:val="18"/>
        </w:rPr>
        <w:t>BUSINESS PLAN</w:t>
      </w:r>
    </w:p>
    <w:p>
      <w:pPr>
        <w:pStyle w:val="Title"/>
        <w:jc w:val="center"/>
      </w:pPr>
      <w:r>
        <w:t>Business plan - édition consolidée</w:t>
      </w:r>
    </w:p>
    <w:p>
      <w:pPr>
        <w:pStyle w:val="Subtitle"/>
        <w:jc w:val="center"/>
      </w:pPr>
      <w:r>
        <w:t>Infrastructure de preuve, pilote Dakar et trajectoire de validation sur 36 mois</w:t>
      </w:r>
    </w:p>
    <w:p/>
    <w:tbl>
      <w:tblPr>
        <w:tblW w:type="auto" w:w="0"/>
        <w:jc w:val="center"/>
        <w:tblLayout w:type="fixed"/>
        <w:tblLook w:firstColumn="1" w:firstRow="1" w:lastColumn="0" w:lastRow="0" w:noHBand="0" w:noVBand="1" w:val="04A0"/>
      </w:tblPr>
      <w:tblGrid>
        <w:gridCol w:w="4819"/>
        <w:gridCol w:w="4819"/>
      </w:tblGrid>
      <w:tr>
        <w:tc>
          <w:tcPr>
            <w:tcW w:type="dxa" w:w="2041"/>
            <w:shd w:fill="0B5947"/>
            <w:tcMar>
              <w:top w:w="110" w:type="dxa"/>
              <w:start w:w="120" w:type="dxa"/>
              <w:bottom w:w="110" w:type="dxa"/>
              <w:end w:w="120" w:type="dxa"/>
            </w:tcMar>
            <w:tcBorders>
              <w:bottom w:val="single" w:sz="4" w:color="D6DEDA"/>
            </w:tcBorders>
          </w:tcPr>
          <w:p>
            <w:pPr>
              <w:pStyle w:val="Tabletext"/>
            </w:pPr>
            <w:r>
              <w:rPr>
                <w:b/>
                <w:color w:val="FFFFFF"/>
              </w:rPr>
              <w:t>Statut</w:t>
            </w:r>
          </w:p>
        </w:tc>
        <w:tc>
          <w:tcPr>
            <w:tcW w:type="dxa" w:w="6237"/>
            <w:shd w:fill="F2F4F3"/>
            <w:tcMar>
              <w:top w:w="110" w:type="dxa"/>
              <w:start w:w="120" w:type="dxa"/>
              <w:bottom w:w="110" w:type="dxa"/>
              <w:end w:w="120" w:type="dxa"/>
            </w:tcMar>
            <w:tcBorders>
              <w:bottom w:val="single" w:sz="4" w:color="D6DEDA"/>
            </w:tcBorders>
          </w:tcPr>
          <w:p>
            <w:pPr>
              <w:pStyle w:val="Tabletext"/>
            </w:pPr>
            <w:r>
              <w:t>Édition consolidée - hypothèses financières et juridiques à approuver</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Consolidée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Audience</w:t>
            </w:r>
          </w:p>
        </w:tc>
        <w:tc>
          <w:tcPr>
            <w:tcW w:type="dxa" w:w="6237"/>
            <w:shd w:fill="F2F4F3"/>
            <w:tcMar>
              <w:top w:w="110" w:type="dxa"/>
              <w:start w:w="120" w:type="dxa"/>
              <w:bottom w:w="110" w:type="dxa"/>
              <w:end w:w="120" w:type="dxa"/>
            </w:tcMar>
            <w:tcBorders>
              <w:bottom w:val="single" w:sz="4" w:color="D6DEDA"/>
            </w:tcBorders>
          </w:tcPr>
          <w:p>
            <w:pPr>
              <w:pStyle w:val="Tabletext"/>
            </w:pPr>
            <w:r>
              <w:t>Financeurs, partenaires institutionnels, incubateurs, investisseurs et direction</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12 juillet 2026</w:t>
            </w:r>
          </w:p>
        </w:tc>
      </w:tr>
    </w:tbl>
    <w:p/>
    <w:p>
      <w:pPr>
        <w:jc w:val="center"/>
      </w:pPr>
      <w:r>
        <w:rPr>
          <w:b/>
          <w:color w:val="443A78"/>
          <w:sz w:val="16"/>
        </w:rPr>
        <w:t>Confidentiel - diffusion contrôlée</w:t>
      </w:r>
    </w:p>
    <w:p>
      <w:pPr>
        <w:jc w:val="center"/>
      </w:pPr>
      <w:r>
        <w:rPr>
          <w:i/>
          <w:color w:val="6D7471"/>
          <w:sz w:val="15"/>
        </w:rPr>
        <w:t>Les objectifs et hypothèses ne doivent pas être présentés comme des résultats obtenus.</w:t>
      </w:r>
    </w:p>
    <w:p>
      <w:pPr>
        <w:sectPr>
          <w:headerReference w:type="default" r:id="rId13"/>
          <w:footerReference w:type="default" r:id="rId14"/>
          <w:pgSz w:w="11906" w:h="16838"/>
          <w:pgMar w:top="1134" w:right="1134" w:bottom="1134" w:left="1134" w:header="720" w:footer="720" w:gutter="0"/>
          <w:cols w:space="720"/>
          <w:titlePg/>
          <w:docGrid w:linePitch="360"/>
        </w:sectPr>
      </w:pPr>
    </w:p>
    <w:p>
      <w:pPr>
        <w:spacing w:before="60" w:after="40"/>
      </w:pPr>
      <w:r>
        <w:rPr>
          <w:rFonts w:ascii="Cabin" w:hAnsi="Cabin"/>
          <w:b/>
          <w:color w:val="D4A936"/>
          <w:sz w:val="16"/>
        </w:rPr>
        <w:t>DOCUMENT DE RÉFÉRENCE</w:t>
      </w:r>
    </w:p>
    <w:p>
      <w:pPr>
        <w:pStyle w:val="Title"/>
        <w:jc w:val="left"/>
      </w:pPr>
      <w:r>
        <w:t>Business plan - édition consolidée</w:t>
      </w:r>
    </w:p>
    <w:p>
      <w:pPr>
        <w:pStyle w:val="Subtitle"/>
        <w:jc w:val="left"/>
      </w:pPr>
      <w:r>
        <w:t>Le document central de décision - problème, solution, marché, modèle économique, opérations, risques et financement.</w:t>
      </w:r>
    </w:p>
    <w:p>
      <w:pPr>
        <w:spacing w:after="120"/>
        <w:pBdr>
          <w:bottom w:val="single" w:sz="12" w:space="1" w:color="D4A936"/>
        </w:pBdr>
      </w:pPr>
    </w:p>
    <w:tbl>
      <w:tblPr>
        <w:tblW w:type="auto" w:w="0"/>
        <w:jc w:val="center"/>
        <w:tblLayout w:type="fixed"/>
        <w:tblLook w:firstColumn="1" w:firstRow="1" w:lastColumn="0" w:lastRow="0" w:noHBand="0" w:noVBand="1" w:val="04A0"/>
      </w:tblPr>
      <w:tblGrid>
        <w:gridCol w:w="3184"/>
        <w:gridCol w:w="3184"/>
        <w:gridCol w:w="3184"/>
      </w:tblGrid>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30 jours</w:t>
            </w:r>
          </w:p>
          <w:p>
            <w:pPr>
              <w:pStyle w:val="KPIlabel"/>
              <w:jc w:val="center"/>
            </w:pPr>
            <w:r>
              <w:t>pilote initial</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250</w:t>
            </w:r>
          </w:p>
          <w:p>
            <w:pPr>
              <w:pStyle w:val="KPIlabel"/>
              <w:jc w:val="center"/>
            </w:pPr>
            <w:r>
              <w:t>marchands ciblés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2,5 M</w:t>
            </w:r>
          </w:p>
          <w:p>
            <w:pPr>
              <w:pStyle w:val="KPIlabel"/>
              <w:jc w:val="center"/>
            </w:pPr>
            <w:r>
              <w:t>FCFA - financement pilote</w:t>
            </w:r>
          </w:p>
        </w:tc>
      </w:tr>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25 000</w:t>
            </w:r>
          </w:p>
          <w:p>
            <w:pPr>
              <w:pStyle w:val="KPIlabel"/>
              <w:jc w:val="center"/>
            </w:pPr>
            <w:r>
              <w:t>FCFA/mois - accès de base</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8 000</w:t>
            </w:r>
          </w:p>
          <w:p>
            <w:pPr>
              <w:pStyle w:val="KPIlabel"/>
              <w:jc w:val="center"/>
            </w:pPr>
            <w:r>
              <w:t>FCFA - visite commandée</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Fév. 2028</w:t>
            </w:r>
          </w:p>
          <w:p>
            <w:pPr>
              <w:pStyle w:val="KPIlabel"/>
              <w:jc w:val="center"/>
            </w:pPr>
            <w:r>
              <w:t>point mort mensuel - base</w:t>
            </w:r>
          </w:p>
        </w:tc>
      </w:tr>
    </w:tbl>
    <w:p>
      <w:pPr>
        <w:spacing w:after="2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Thèse</w:t>
            </w:r>
          </w:p>
          <w:p>
            <w:pPr>
              <w:pStyle w:val="Callouttext"/>
            </w:pPr>
            <w:r>
              <w:t>Les activités informelles ne sont pas nécessairement impossibles à vérifier - leurs preuves sont dispersées, hétérogènes et rarement organisées sous le contrôle de la personne concernée.</w:t>
            </w:r>
          </w:p>
        </w:tc>
      </w:tr>
    </w:tbl>
    <w:p>
      <w:pPr>
        <w:spacing w:after="20" w:before="0"/>
      </w:pPr>
    </w:p>
    <w:p>
      <w:pPr>
        <w:pStyle w:val="Heading1"/>
        <w:keepNext/>
        <w:pageBreakBefore w:val="0"/>
      </w:pPr>
      <w:r>
        <w:t>Table des matières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8334"/>
            <w:shd w:fill="143B31"/>
            <w:tcMar>
              <w:top w:w="20" w:type="dxa"/>
              <w:start w:w="70" w:type="dxa"/>
              <w:bottom w:w="20" w:type="dxa"/>
              <w:end w:w="70" w:type="dxa"/>
            </w:tcMar>
          </w:tcPr>
          <w:p>
            <w:pPr>
              <w:pStyle w:val="Tabletext"/>
              <w:spacing w:before="0" w:after="0" w:line="221" w:lineRule="auto"/>
            </w:pPr>
            <w:r>
              <w:rPr>
                <w:b/>
                <w:color w:val="FFFFFF"/>
                <w:sz w:val="15"/>
              </w:rPr>
              <w:t>Section</w:t>
            </w:r>
          </w:p>
        </w:tc>
        <w:tc>
          <w:tcPr>
            <w:tcW w:type="dxa" w:w="1020"/>
            <w:shd w:fill="143B31"/>
            <w:tcMar>
              <w:top w:w="20" w:type="dxa"/>
              <w:start w:w="70" w:type="dxa"/>
              <w:bottom w:w="20" w:type="dxa"/>
              <w:end w:w="70" w:type="dxa"/>
            </w:tcMar>
          </w:tcPr>
          <w:p>
            <w:pPr>
              <w:pStyle w:val="Tabletext"/>
              <w:spacing w:before="0" w:after="0" w:line="221" w:lineRule="auto"/>
            </w:pPr>
            <w:r>
              <w:rPr>
                <w:b/>
                <w:color w:val="FFFFFF"/>
                <w:sz w:val="15"/>
              </w:rPr>
              <w:t>Page</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1. Résumé exécutif</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1</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2. Identité, mission et périmètre</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2</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3. Problème à résoudre</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2</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4. Solution et proposition de valeur</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3</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5. Marché et opportunité</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3</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6. Segments et priorités commerciales</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4</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7. Alternatives et différenciation</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4</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8. Modèle économique et tarification</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4</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9. Stratégie de mise sur le marché</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5</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10. Plan opérationnel du pilote</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5</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11. Organisation et gouvernance</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6</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12. Feuille de route produit et technologie</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6</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13. Gouvernance des données et conformité</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6</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14. Impact et indicateurs</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7</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15. Plan financier sur 36 mois</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7</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16. Stratégie de financement</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8</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17. Risques et mesures de maîtrise</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8</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18. Jalons et décisions</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8</w:t>
            </w:r>
          </w:p>
        </w:tc>
      </w:tr>
      <w:tr>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pPr>
            <w:r>
              <w:rPr>
                <w:sz w:val="14"/>
              </w:rPr>
              <w:t>19. Informations obligatoires avant dépôt final</w:t>
            </w:r>
          </w:p>
        </w:tc>
        <w:tc>
          <w:tcPr>
            <w:tcW w:type="dxa" w:w="4776"/>
            <w:shd w:fill="FFFFFF"/>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9</w:t>
            </w:r>
          </w:p>
        </w:tc>
      </w:tr>
      <w:tr>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pPr>
            <w:r>
              <w:rPr>
                <w:sz w:val="14"/>
              </w:rPr>
              <w:t>20. Sources</w:t>
            </w:r>
          </w:p>
        </w:tc>
        <w:tc>
          <w:tcPr>
            <w:tcW w:type="dxa" w:w="4776"/>
            <w:shd w:fill="F2F4F3"/>
            <w:tcMar>
              <w:top w:w="20" w:type="dxa"/>
              <w:start w:w="70" w:type="dxa"/>
              <w:bottom w:w="20" w:type="dxa"/>
              <w:end w:w="70" w:type="dxa"/>
            </w:tcMar>
            <w:tcBorders>
              <w:bottom w:val="single" w:sz="2" w:color="E5E9E7"/>
            </w:tcBorders>
          </w:tcPr>
          <w:p>
            <w:pPr>
              <w:pStyle w:val="Tabletext"/>
              <w:spacing w:before="0" w:after="0" w:line="221" w:lineRule="auto"/>
              <w:jc w:val="right"/>
            </w:pPr>
            <w:r>
              <w:rPr>
                <w:sz w:val="14"/>
              </w:rPr>
              <w:t>9</w:t>
            </w:r>
          </w:p>
        </w:tc>
      </w:tr>
    </w:tbl>
    <w:p>
      <w:pPr>
        <w:pStyle w:val="Heading1"/>
        <w:keepNext/>
        <w:pageBreakBefore w:val="0"/>
      </w:pPr>
      <w:r>
        <w:t>1. Résumé exécutif</w:t>
      </w:r>
    </w:p>
    <w:p>
      <w:r>
        <w:t>Dëggal propose une couche de confiance pour les petits commerçants, artisans et autres activités économiques faiblement documentées. Un agent formé recueille, avec consentement, des preuves proportionnées; un back-office vérifie la complétude et la cohérence; le service produit ensuite un passeport d’activité léger pouvant être partagé avec un partenaire autorisé.</w:t>
      </w:r>
    </w:p>
    <w:p>
      <w:r>
        <w:t>Le pilote de Dakar vise à valider quatre questions avant tout investissement technologique lourd : les commerçants comprennent-ils et acceptent-ils le dispositif; les preuves produites sont-elles utiles et fiables; les partenaires sont-ils prêts à payer; le coût complet peut-il devenir inférieur au revenu généré?</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Demande immédiate</w:t>
            </w:r>
          </w:p>
          <w:p>
            <w:pPr>
              <w:pStyle w:val="Callouttext"/>
            </w:pPr>
            <w:r>
              <w:t>2 500 000 FCFA pour un pilote de 30 jours. Le budget direct est de 2 161 500 FCFA; la marge de 338 500 FCFA est conditionnelle et non automatique.</w:t>
            </w:r>
          </w:p>
        </w:tc>
      </w:tr>
    </w:tbl>
    <w:p>
      <w:pPr>
        <w:spacing w:after="20" w:before="0"/>
      </w:pPr>
    </w:p>
    <w:p>
      <w:pPr>
        <w:pStyle w:val="Heading1"/>
        <w:keepNext/>
        <w:pageBreakBefore w:val="0"/>
      </w:pPr>
      <w:r>
        <w:t>2. Identité, mission et périmètre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92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Élément</w:t>
            </w:r>
          </w:p>
        </w:tc>
        <w:tc>
          <w:tcPr>
            <w:tcW w:type="dxa" w:w="464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Position</w:t>
            </w:r>
          </w:p>
        </w:tc>
        <w:tc>
          <w:tcPr>
            <w:tcW w:type="dxa" w:w="277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Statut</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Nom de travail</w:t>
            </w:r>
          </w:p>
        </w:tc>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Dëggal</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confirmer juridiquement et commercialement.</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Mission</w:t>
            </w:r>
          </w:p>
        </w:tc>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Rendre des activités économiques vérifiables sans imposer une application complexe ni exposer des données excessives.</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Consolidé.</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Porteur légal</w:t>
            </w:r>
          </w:p>
        </w:tc>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Bloquant avant contrat, collecte réelle ou facturation.</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Siège et coordonnées</w:t>
            </w:r>
          </w:p>
        </w:tc>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Bloquant avant diffusion externe finale.</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Zone pilote</w:t>
            </w:r>
          </w:p>
        </w:tc>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Dakar - zones et marchés à sélectionner avec autorisation et analyse de sécurité.</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valider.</w:t>
            </w:r>
          </w:p>
        </w:tc>
      </w:tr>
      <w:tr>
        <w:trPr>
          <w:cantSplit/>
        </w:trPr>
        <w:tc>
          <w:tcPr>
            <w:tcW w:type="dxa" w:w="192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Produit initial</w:t>
            </w:r>
          </w:p>
        </w:tc>
        <w:tc>
          <w:tcPr>
            <w:tcW w:type="dxa" w:w="464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Vérification assistée, passeport d’activité et accès partenaire contrôlé.</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Consolidé.</w:t>
            </w:r>
          </w:p>
        </w:tc>
      </w:tr>
      <w:tr>
        <w:trPr>
          <w:cantSplit/>
        </w:trPr>
        <w:tc>
          <w:tcPr>
            <w:tcW w:type="dxa" w:w="192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Activités exclues</w:t>
            </w:r>
          </w:p>
        </w:tc>
        <w:tc>
          <w:tcPr>
            <w:tcW w:type="dxa" w:w="464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Prêt, garantie, notation de crédit, encaissement de fonds pour compte de tiers et vente libre de données.</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Consolidé.</w:t>
            </w:r>
          </w:p>
        </w:tc>
      </w:tr>
    </w:tbl>
    <w:p>
      <w:pPr>
        <w:spacing w:after="40"/>
      </w:pPr>
    </w:p>
    <w:p>
      <w:pPr>
        <w:pStyle w:val="Heading1"/>
        <w:keepNext/>
        <w:pageBreakBefore w:val="0"/>
      </w:pPr>
      <w:r>
        <w:t>3. Problème à résoudre</w:t>
      </w:r>
    </w:p>
    <w:p>
      <w:r>
        <w:t>De nombreux petits opérateurs disposent de traces d’activité, mais celles-ci sont difficiles à réunir dans un dossier compréhensible par un tiers. Les partenaires institutionnels ou commerciaux répètent alors des visites, utilisent des registres non actualisés ou écartent des dossiers faute d’éléments comparables.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Douleur</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Effet</w:t>
            </w:r>
          </w:p>
        </w:tc>
        <w:tc>
          <w:tcPr>
            <w:tcW w:type="dxa" w:w="425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Hypothèse à tester</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Preuves dispersées</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Temps perdu et récits répétés.</w:t>
            </w:r>
          </w:p>
        </w:tc>
        <w:tc>
          <w:tcPr>
            <w:tcW w:type="dxa" w:w="425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Un dossier structuré réduit-il le temps de qualification?</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Onboarding écrit complexe</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Abandon ou information de faible qualité.</w:t>
            </w:r>
          </w:p>
        </w:tc>
        <w:tc>
          <w:tcPr>
            <w:tcW w:type="dxa" w:w="425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Une expérience orale et assistée améliore-t-elle la compréhension?</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Registres obsolètes</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Mauvais ciblage et faux bénéficiaires.</w:t>
            </w:r>
          </w:p>
        </w:tc>
        <w:tc>
          <w:tcPr>
            <w:tcW w:type="dxa" w:w="425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Une date de vérification et un contrôle terrain améliorent-ils la confiance?</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Partage incontrôlé</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Risque juridique et réputationnel.</w:t>
            </w:r>
          </w:p>
        </w:tc>
        <w:tc>
          <w:tcPr>
            <w:tcW w:type="dxa" w:w="425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Une vue filtrée et révocable est-elle acceptable pour les deux parties?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Absence d’historique exploitable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Décisions basées sur l’intuition.</w:t>
            </w:r>
          </w:p>
        </w:tc>
        <w:tc>
          <w:tcPr>
            <w:tcW w:type="dxa" w:w="425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Des preuves proportionnées suffisent-elles pour une première présélection?</w:t>
            </w:r>
          </w:p>
        </w:tc>
      </w:tr>
    </w:tbl>
    <w:p>
      <w:pPr>
        <w:spacing w:after="40"/>
      </w:pPr>
    </w:p>
    <w:p>
      <w:pPr>
        <w:pStyle w:val="Heading1"/>
        <w:keepNext/>
        <w:pageBreakBefore w:val="0"/>
      </w:pPr>
      <w:r>
        <w:t>4. Solution et proposition de valeur</w:t>
      </w:r>
    </w:p>
    <w:p>
      <w:pPr>
        <w:pStyle w:val="Heading2"/>
        <w:keepNext/>
      </w:pPr>
      <w:r>
        <w:t>4.1 Composants du produit</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64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Composant</w:t>
            </w:r>
          </w:p>
        </w:tc>
        <w:tc>
          <w:tcPr>
            <w:tcW w:type="dxa" w:w="300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Description</w:t>
            </w:r>
          </w:p>
        </w:tc>
        <w:tc>
          <w:tcPr>
            <w:tcW w:type="dxa" w:w="272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Valeur créée</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Limite explicite</w:t>
            </w:r>
          </w:p>
        </w:tc>
      </w:tr>
      <w:tr>
        <w:trPr>
          <w:cantSplit/>
        </w:trPr>
        <w:tc>
          <w:tcPr>
            <w:tcW w:type="dxa" w:w="164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Collecte terrain</w:t>
            </w:r>
          </w:p>
        </w:tc>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Entretien oral, observation, photos, reçus ou références autorisés.</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Réduit la friction et contextualise la preuve.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Ne remplace pas un audit.</w:t>
            </w:r>
          </w:p>
        </w:tc>
      </w:tr>
      <w:tr>
        <w:trPr>
          <w:cantSplit/>
        </w:trPr>
        <w:tc>
          <w:tcPr>
            <w:tcW w:type="dxa" w:w="164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Passeport d’activité</w:t>
            </w:r>
          </w:p>
        </w:tc>
        <w:tc>
          <w:tcPr>
            <w:tcW w:type="dxa" w:w="300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ID, catégorie, zone, date, résumé et niveau de preuve.</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Dossier lisible et actualisable.</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Ne garantit pas la solvabilité.</w:t>
            </w:r>
          </w:p>
        </w:tc>
      </w:tr>
      <w:tr>
        <w:trPr>
          <w:cantSplit/>
        </w:trPr>
        <w:tc>
          <w:tcPr>
            <w:tcW w:type="dxa" w:w="164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QR ou carte</w:t>
            </w:r>
          </w:p>
        </w:tc>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Identifiant ou lien privé vers un profil léger.</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Vérification simple sur le terrain.</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Pas de lien public par défaut.</w:t>
            </w:r>
          </w:p>
        </w:tc>
      </w:tr>
      <w:tr>
        <w:trPr>
          <w:cantSplit/>
        </w:trPr>
        <w:tc>
          <w:tcPr>
            <w:tcW w:type="dxa" w:w="164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Vue partenaire</w:t>
            </w:r>
          </w:p>
        </w:tc>
        <w:tc>
          <w:tcPr>
            <w:tcW w:type="dxa" w:w="300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Export filtré, lecture seule et temporaire.</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Aide une décision sans exposer le brut.</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Consentement compatible requis.</w:t>
            </w:r>
          </w:p>
        </w:tc>
      </w:tr>
      <w:tr>
        <w:trPr>
          <w:cantSplit/>
        </w:trPr>
        <w:tc>
          <w:tcPr>
            <w:tcW w:type="dxa" w:w="164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Journal d’accès</w:t>
            </w:r>
          </w:p>
        </w:tc>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Destinataire, champs, dates et statut de révocation.</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Traçabilité et contrôle.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Revue régulière obligatoire.</w:t>
            </w:r>
          </w:p>
        </w:tc>
      </w:tr>
    </w:tbl>
    <w:p>
      <w:pPr>
        <w:spacing w:after="40"/>
      </w:pPr>
    </w:p>
    <w:p>
      <w:pPr>
        <w:pStyle w:val="Heading2"/>
        <w:keepNext/>
      </w:pPr>
      <w:r>
        <w:t>4.2 Niveaux de preuve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58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Niveau</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Minimum</w:t>
            </w:r>
          </w:p>
        </w:tc>
        <w:tc>
          <w:tcPr>
            <w:tcW w:type="dxa" w:w="249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Usage possible</w:t>
            </w:r>
          </w:p>
        </w:tc>
        <w:tc>
          <w:tcPr>
            <w:tcW w:type="dxa" w:w="243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Ce que le niveau ne prouve pas</w:t>
            </w:r>
          </w:p>
        </w:tc>
      </w:tr>
      <w:tr>
        <w:trPr>
          <w:cantSplit/>
        </w:trPr>
        <w:tc>
          <w:tcPr>
            <w:tcW w:type="dxa" w:w="15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Existence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Point de vente ou lieu, activité observée, date et consentement.</w:t>
            </w:r>
          </w:p>
        </w:tc>
        <w:tc>
          <w:tcPr>
            <w:tcW w:type="dxa" w:w="249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Identification initiale.</w:t>
            </w:r>
          </w:p>
        </w:tc>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Revenus, ancienneté ou solvabilité.</w:t>
            </w:r>
          </w:p>
        </w:tc>
      </w:tr>
      <w:tr>
        <w:trPr>
          <w:cantSplit/>
        </w:trPr>
        <w:tc>
          <w:tcPr>
            <w:tcW w:type="dxa" w:w="158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Activité</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Existence plus stock, vente récente, reçu ou référence.</w:t>
            </w:r>
          </w:p>
        </w:tc>
        <w:tc>
          <w:tcPr>
            <w:tcW w:type="dxa" w:w="249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Campagne partenaire standard.</w:t>
            </w:r>
          </w:p>
        </w:tc>
        <w:tc>
          <w:tcPr>
            <w:tcW w:type="dxa" w:w="243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Performance future.</w:t>
            </w:r>
          </w:p>
        </w:tc>
      </w:tr>
      <w:tr>
        <w:trPr>
          <w:cantSplit/>
        </w:trPr>
        <w:tc>
          <w:tcPr>
            <w:tcW w:type="dxa" w:w="158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Fiabilité renforcée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Activité, ancienneté, références croisées et absence d’alerte critique.</w:t>
            </w:r>
          </w:p>
        </w:tc>
        <w:tc>
          <w:tcPr>
            <w:tcW w:type="dxa" w:w="249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Shortlist ou pré-dossier renforcé.</w:t>
            </w:r>
          </w:p>
        </w:tc>
        <w:tc>
          <w:tcPr>
            <w:tcW w:type="dxa" w:w="243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Décision de crédit ou conformité complète.</w:t>
            </w:r>
          </w:p>
        </w:tc>
      </w:tr>
    </w:tbl>
    <w:p>
      <w:pPr>
        <w:spacing w:after="40"/>
      </w:pPr>
    </w:p>
    <w:p>
      <w:pPr>
        <w:pStyle w:val="Heading1"/>
        <w:keepNext/>
        <w:pageBreakBefore w:val="0"/>
      </w:pPr>
      <w:r>
        <w:t>5. Marché et opportunité</w:t>
      </w:r>
    </w:p>
    <w:p>
      <w:r>
        <w:t>La thèse de marché s’appuie sur trois tendances structurelles : le poids de l’économie informelle dans l’emploi et la création de revenus; l’augmentation des traces numériques liées aux paiements et aux communications; le besoin persistant de vérifier des activités qui ne disposent pas d’états financiers ou de registres complets.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Signal</w:t>
            </w:r>
          </w:p>
        </w:tc>
        <w:tc>
          <w:tcPr>
            <w:tcW w:type="dxa" w:w="345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Implication</w:t>
            </w:r>
          </w:p>
        </w:tc>
        <w:tc>
          <w:tcPr>
            <w:tcW w:type="dxa" w:w="362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Validation requise</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Importance de l’économie informelle</w:t>
            </w:r>
          </w:p>
        </w:tc>
        <w:tc>
          <w:tcPr>
            <w:tcW w:type="dxa" w:w="345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Le problème concerne l’économie principale et non une niche.</w:t>
            </w:r>
          </w:p>
        </w:tc>
        <w:tc>
          <w:tcPr>
            <w:tcW w:type="dxa" w:w="362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Quantifier les unités économiques pertinentes avec des sources ANSD/OIT à jour.</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Adoption des services mobiles</w:t>
            </w:r>
          </w:p>
        </w:tc>
        <w:tc>
          <w:tcPr>
            <w:tcW w:type="dxa" w:w="345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Des traces existent, mais elles sont fragmentées et sensibles.</w:t>
            </w:r>
          </w:p>
        </w:tc>
        <w:tc>
          <w:tcPr>
            <w:tcW w:type="dxa" w:w="362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Tester quelles traces sont utiles sans collecter de données excessives.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Programmes d’appui aux MPME</w:t>
            </w:r>
          </w:p>
        </w:tc>
        <w:tc>
          <w:tcPr>
            <w:tcW w:type="dxa" w:w="345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Des partenaires ont besoin de ciblage, suivi et contrôle.</w:t>
            </w:r>
          </w:p>
        </w:tc>
        <w:tc>
          <w:tcPr>
            <w:tcW w:type="dxa" w:w="362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Entretiens décisionnaires et pilotes payants.</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Coût élevé de la vérification terrain</w:t>
            </w:r>
          </w:p>
        </w:tc>
        <w:tc>
          <w:tcPr>
            <w:tcW w:type="dxa" w:w="345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Possibilité de mutualiser ou standardiser la collecte.</w:t>
            </w:r>
          </w:p>
        </w:tc>
        <w:tc>
          <w:tcPr>
            <w:tcW w:type="dxa" w:w="362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Comparer le coût Dëggal au processus actuel du partenaire.</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Taille de marché</w:t>
            </w:r>
          </w:p>
          <w:p>
            <w:pPr>
              <w:pStyle w:val="Callouttext"/>
            </w:pPr>
            <w:r>
              <w:t>La n’invente pas un TAM national. Le SOM du pilote est explicitement limité à 250 marchands. Le SAM de Dakar doit être établi par un comptage bottom-up des zones, catégories et partenaires réellement accessibles.</w:t>
            </w:r>
          </w:p>
        </w:tc>
      </w:tr>
    </w:tbl>
    <w:p>
      <w:pPr>
        <w:spacing w:after="20" w:before="0"/>
      </w:pPr>
    </w:p>
    <w:p>
      <w:pPr>
        <w:pStyle w:val="Sourcenote"/>
      </w:pPr>
      <w:r>
        <w:t>OIT - économie informelle: https://www.ilo.org/topics-and-sectors/informal-economy ANSD Sénégal - statistiques et enquêtes nationales: https://www.ansd.sn/ Banque mondiale - Global Findex 2021: https://www.worldbank.org/en/publication/globalfindex GSMA - State of the Industry Report on Mobile Money: https://www.gsma.com/sotir/ BCEAO - publications sur l’inclusion financière dans l’UEMOA: https://www.bceao.int/</w:t>
      </w:r>
    </w:p>
    <w:p>
      <w:pPr>
        <w:pStyle w:val="Heading1"/>
        <w:keepNext/>
        <w:pageBreakBefore w:val="0"/>
      </w:pPr>
      <w:r>
        <w:t>6. Segments et priorités commerciales</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Segment</w:t>
            </w:r>
          </w:p>
        </w:tc>
        <w:tc>
          <w:tcPr>
            <w:tcW w:type="dxa" w:w="311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Besoin prioritaire</w:t>
            </w:r>
          </w:p>
        </w:tc>
        <w:tc>
          <w:tcPr>
            <w:tcW w:type="dxa" w:w="294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Offre d’entrée</w:t>
            </w:r>
          </w:p>
        </w:tc>
        <w:tc>
          <w:tcPr>
            <w:tcW w:type="dxa" w:w="963"/>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Priorité pilote</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Programmes publics, ONG et associations</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Identifier et suivre des bénéficiaires ou membres actifs.</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Campagne limitée et rapport de contrôle.</w:t>
            </w:r>
          </w:p>
        </w:tc>
        <w:tc>
          <w:tcPr>
            <w:tcW w:type="dxa" w:w="96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w:t>
            </w:r>
          </w:p>
        </w:tc>
      </w:tr>
      <w:tr>
        <w:trPr>
          <w:cantSplit/>
        </w:trPr>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Fournisseurs, grossistes et équipementiers</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Identifier des revendeurs ou opérateurs actifs.</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Liste consentie par zone/catégorie + revisites.</w:t>
            </w:r>
          </w:p>
        </w:tc>
        <w:tc>
          <w:tcPr>
            <w:tcW w:type="dxa" w:w="96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Institutions financières et garanties</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Améliorer un pré-dossier sans promettre de financement.</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Vue filtrée et preuves proportionnées.</w:t>
            </w:r>
          </w:p>
        </w:tc>
        <w:tc>
          <w:tcPr>
            <w:tcW w:type="dxa" w:w="96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w:t>
            </w:r>
          </w:p>
        </w:tc>
      </w:tr>
      <w:tr>
        <w:trPr>
          <w:cantSplit/>
        </w:trPr>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Incubateurs et réseaux d’entrepreneurs</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Documenter des activités accompagnées.</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Pack de suivi et mise à jour.</w:t>
            </w:r>
          </w:p>
        </w:tc>
        <w:tc>
          <w:tcPr>
            <w:tcW w:type="dxa" w:w="96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w:t>
            </w:r>
          </w:p>
        </w:tc>
      </w:tr>
      <w:tr>
        <w:trPr>
          <w:cantSplit/>
        </w:trPr>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Acheteurs et marketplaces</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Vérifier l’existence et la capacité opérationnelle.</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Campagne ciblée.</w:t>
            </w:r>
          </w:p>
        </w:tc>
        <w:tc>
          <w:tcPr>
            <w:tcW w:type="dxa" w:w="96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3</w:t>
            </w:r>
          </w:p>
        </w:tc>
      </w:tr>
    </w:tbl>
    <w:p>
      <w:pPr>
        <w:spacing w:after="40"/>
      </w:pPr>
    </w:p>
    <w:p>
      <w:r>
        <w:t>Le pilote doit éviter de servir simultanément trop de segments. La priorité recommandée est de sélectionner un segment institutionnel et un segment commercial, puis de comparer la valeur perçue, le cycle de vente et la disposition à payer.</w:t>
      </w:r>
    </w:p>
    <w:p>
      <w:pPr>
        <w:pStyle w:val="Heading1"/>
        <w:keepNext/>
        <w:pageBreakBefore w:val="0"/>
      </w:pPr>
      <w:r>
        <w:t>7. Alternatives et différenciation</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209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Alternative actuelle</w:t>
            </w:r>
          </w:p>
        </w:tc>
        <w:tc>
          <w:tcPr>
            <w:tcW w:type="dxa" w:w="187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Force</w:t>
            </w:r>
          </w:p>
        </w:tc>
        <w:tc>
          <w:tcPr>
            <w:tcW w:type="dxa" w:w="260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Limite</w:t>
            </w:r>
          </w:p>
        </w:tc>
        <w:tc>
          <w:tcPr>
            <w:tcW w:type="dxa" w:w="277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Position Dëggal</w:t>
            </w:r>
          </w:p>
        </w:tc>
      </w:tr>
      <w:tr>
        <w:trPr>
          <w:cantSplit/>
        </w:trPr>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Visite interne du partenaire</w:t>
            </w:r>
          </w:p>
        </w:tc>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Contrôle direct.</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Coûteuse, non standardisée et répétitive.</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Collecte externalisée et structurée.</w:t>
            </w:r>
          </w:p>
        </w:tc>
      </w:tr>
      <w:tr>
        <w:trPr>
          <w:cantSplit/>
        </w:trPr>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Registre papier ou tableur</w:t>
            </w:r>
          </w:p>
        </w:tc>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Simple et peu coûteux.</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Obsolescence, faible preuve et accès peu contrôlé.</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Registre vivant et traçable.</w:t>
            </w:r>
          </w:p>
        </w:tc>
      </w:tr>
      <w:tr>
        <w:trPr>
          <w:cantSplit/>
        </w:trPr>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KYC financier classique</w:t>
            </w:r>
          </w:p>
        </w:tc>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Cadre connu.</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Documents parfois indisponibles; finalité différente.</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Pré-dossier proportionné, sans se substituer au KYC.</w:t>
            </w:r>
          </w:p>
        </w:tc>
      </w:tr>
      <w:tr>
        <w:trPr>
          <w:cantSplit/>
        </w:trPr>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Historique mobile money</w:t>
            </w:r>
          </w:p>
        </w:tc>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Signal transactionnel.</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Très sensible, incomplet et non suffisant seul.</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Dëggal n’exige pas l’accès complet au compte.</w:t>
            </w:r>
          </w:p>
        </w:tc>
      </w:tr>
      <w:tr>
        <w:trPr>
          <w:cantSplit/>
        </w:trPr>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Réputation communautaire</w:t>
            </w:r>
          </w:p>
        </w:tc>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Contextuelle et rapide.</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Biais, conflits et faible auditabilité.</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Références déclarées et recoupées.</w:t>
            </w:r>
          </w:p>
        </w:tc>
      </w:tr>
      <w:tr>
        <w:trPr>
          <w:cantSplit/>
        </w:trPr>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Marketplace ou annuaire</w:t>
            </w:r>
          </w:p>
        </w:tc>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Visibilité commerciale.</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Ne prouve pas toujours l’activité réelle.</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Observation terrain datée.</w:t>
            </w:r>
          </w:p>
        </w:tc>
      </w:tr>
    </w:tbl>
    <w:p>
      <w:pPr>
        <w:spacing w:after="40"/>
      </w:pPr>
    </w:p>
    <w:p>
      <w:pPr>
        <w:pStyle w:val="Heading1"/>
        <w:keepNext/>
        <w:pageBreakBefore w:val="0"/>
      </w:pPr>
      <w:r>
        <w:t>8. Modèle économique et tarification</w:t>
      </w:r>
    </w:p>
    <w:p>
      <w:r>
        <w:t>Le modèle est B2B ou B2G : un partenaire paie pour une campagne, un accès limité ou une nouvelle visite. Le commerçant ne doit pas être incité à céder des données en échange d’une promesse de financement.</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87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Ligne</w:t>
            </w:r>
          </w:p>
        </w:tc>
        <w:tc>
          <w:tcPr>
            <w:tcW w:type="dxa" w:w="215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Hypothèse pilote</w:t>
            </w:r>
          </w:p>
        </w:tc>
        <w:tc>
          <w:tcPr>
            <w:tcW w:type="dxa" w:w="294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Facteur de coût</w:t>
            </w:r>
          </w:p>
        </w:tc>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Test de validation</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Accès de base</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25 000 FCFA/mois.</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Support, revue des accès, sécurité et commercial.</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Paiement récurrent et usage.</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Dossiers supplémentaires</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500 FCFA/dossier/mois.</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Stockage, mise à jour, QA et support.</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Élasticité prix/volume.</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Utilisateur supplémentaire</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5 000 FCFA/mois.</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Gestion d’identité et support.</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Nombre de comptes réellement nécessaires.</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Marché précis</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À partir de 50 000 FCFA/mois.</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Ciblage et maintenance de la cohorte.</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Valeur d’un périmètre exclusif.</w:t>
            </w:r>
          </w:p>
        </w:tc>
      </w:tr>
      <w:tr>
        <w:trPr>
          <w:cantSplit/>
        </w:trPr>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Nouvelle visite</w:t>
            </w:r>
          </w:p>
        </w:tc>
        <w:tc>
          <w:tcPr>
            <w:tcW w:type="dxa" w:w="215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8 000 FCFA/commerce.</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Agent, transport, coordination, QA et support.</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Marge contributive complète.</w:t>
            </w:r>
          </w:p>
        </w:tc>
      </w:tr>
      <w:tr>
        <w:trPr>
          <w:cantSplit/>
        </w:trPr>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Campagne institutionnelle</w:t>
            </w:r>
          </w:p>
        </w:tc>
        <w:tc>
          <w:tcPr>
            <w:tcW w:type="dxa" w:w="215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Sur devis - non incluse dans le scénario base.</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Conception, mobilisation et reporting.</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Bon de commande ou contrat.</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Discipline de prix</w:t>
            </w:r>
          </w:p>
          <w:p>
            <w:pPr>
              <w:pStyle w:val="Callouttext"/>
            </w:pPr>
            <w:r>
              <w:t>Aucun prix ne doit être présenté comme validé avant paiement. Les remises doivent être liées à un périmètre, un volume et une durée - jamais à un accès plus large aux données.</w:t>
            </w:r>
          </w:p>
        </w:tc>
      </w:tr>
    </w:tbl>
    <w:p>
      <w:pPr>
        <w:spacing w:after="20" w:before="0"/>
      </w:pPr>
    </w:p>
    <w:p>
      <w:pPr>
        <w:pStyle w:val="Heading1"/>
        <w:keepNext/>
        <w:pageBreakBefore w:val="0"/>
      </w:pPr>
      <w:r>
        <w:t>9. Stratégie de mise sur le marché</w:t>
      </w:r>
    </w:p>
    <w:p>
      <w:pPr>
        <w:pStyle w:val="ListNumber"/>
      </w:pPr>
      <w:r>
        <w:t>Qualifier 20 à 30 partenaires sur leur processus actuel, le coût de vérification, les champs utiles, le budget et le décideur.</w:t>
      </w:r>
    </w:p>
    <w:p>
      <w:pPr>
        <w:pStyle w:val="ListNumber"/>
      </w:pPr>
      <w:r>
        <w:t>Produire trois exemples de passeports fictifs ou anonymisés correspondant aux segments prioritaires.</w:t>
      </w:r>
    </w:p>
    <w:p>
      <w:pPr>
        <w:pStyle w:val="ListNumber"/>
      </w:pPr>
      <w:r>
        <w:t>Vendre un pilote limité avant de construire un portail complet.</w:t>
      </w:r>
    </w:p>
    <w:p>
      <w:pPr>
        <w:pStyle w:val="ListNumber"/>
      </w:pPr>
      <w:r>
        <w:t>Exiger une prochaine action datée et un responsable après chaque échange.</w:t>
      </w:r>
    </w:p>
    <w:p>
      <w:pPr>
        <w:pStyle w:val="ListNumber"/>
      </w:pPr>
      <w:r>
        <w:t>Mesurer séparément intérêt, proposition envoyée, LOI, facture et encaissement.</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Étape funnel</w:t>
            </w:r>
          </w:p>
        </w:tc>
        <w:tc>
          <w:tcPr>
            <w:tcW w:type="dxa" w:w="413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Définition</w:t>
            </w:r>
          </w:p>
        </w:tc>
        <w:tc>
          <w:tcPr>
            <w:tcW w:type="dxa" w:w="351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Critère de passage</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Cible</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Organisation compatible avec un cas d’usage.</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Mandat et contact vérifiés.</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Qualifiée</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Besoin, segment, budget, calendrier et décideur identifiés.</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Compte rendu daté.</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Démonstration</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Exemple présenté et champs utiles discutés.</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Retour écrit.</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Proposition</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Périmètre, prix, délai et données précisés.</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Document envoyé au décideur.</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Engagement</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Paiement, bon, contrat ou LOI forte.</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Pièce formelle.</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Activation</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Accès ou campagne démarré après contrôles.</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Consentements et journal.</w:t>
            </w:r>
          </w:p>
        </w:tc>
      </w:tr>
    </w:tbl>
    <w:p>
      <w:pPr>
        <w:spacing w:after="40"/>
      </w:pPr>
    </w:p>
    <w:p>
      <w:pPr>
        <w:pStyle w:val="Heading1"/>
        <w:keepNext/>
        <w:pageBreakBefore w:val="0"/>
      </w:pPr>
      <w:r>
        <w:t>10. Plan opérationnel du pilote</w:t>
      </w:r>
    </w:p>
    <w:tbl>
      <w:tblPr>
        <w:tblW w:type="auto" w:w="0"/>
        <w:jc w:val="center"/>
        <w:tblLayout w:type="fixed"/>
        <w:tblLook w:firstColumn="1" w:firstRow="1" w:lastColumn="0" w:lastRow="0" w:noHBand="0" w:noVBand="1" w:val="04A0"/>
      </w:tblPr>
      <w:tblGrid>
        <w:gridCol w:w="1911"/>
        <w:gridCol w:w="1911"/>
        <w:gridCol w:w="1911"/>
        <w:gridCol w:w="1911"/>
        <w:gridCol w:w="1911"/>
      </w:tblGrid>
      <w:tr>
        <w:trPr>
          <w:tblHeader w:val="true"/>
        </w:trPr>
        <w:tc>
          <w:tcPr>
            <w:tcW w:type="dxa" w:w="113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Semaine</w:t>
            </w:r>
          </w:p>
        </w:tc>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Terrain</w:t>
            </w:r>
          </w:p>
        </w:tc>
        <w:tc>
          <w:tcPr>
            <w:tcW w:type="dxa" w:w="255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Back-office</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Partenariats</w:t>
            </w:r>
          </w:p>
        </w:tc>
        <w:tc>
          <w:tcPr>
            <w:tcW w:type="dxa" w:w="136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Décision</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Deux zones, scripts, 30-40 vérifications.</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QA sous 24 h, nomenclature et reprises.</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5-7 entretiens.</w:t>
            </w:r>
          </w:p>
        </w:tc>
        <w:tc>
          <w:tcPr>
            <w:tcW w:type="dxa" w:w="136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Processus stable ou correction.</w:t>
            </w:r>
          </w:p>
        </w:tc>
      </w:tr>
      <w:tr>
        <w:trPr>
          <w:cantSplit/>
        </w:trPr>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2</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90-110 vérifiés cumulés.</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Premiers profils partageables.</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Besoins et critères utiles.</w:t>
            </w:r>
          </w:p>
        </w:tc>
        <w:tc>
          <w:tcPr>
            <w:tcW w:type="dxa" w:w="136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Maintenir ou réduire la cadence.</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3</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160-190 vérifiés cumulés.</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Premier export filtré.</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2-3 partenaires chauds.</w:t>
            </w:r>
          </w:p>
        </w:tc>
        <w:tc>
          <w:tcPr>
            <w:tcW w:type="dxa" w:w="136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Proposition pilote.</w:t>
            </w:r>
          </w:p>
        </w:tc>
      </w:tr>
      <w:tr>
        <w:trPr>
          <w:cantSplit/>
        </w:trPr>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4</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220-260 vérifiés cumulés.</w:t>
            </w:r>
          </w:p>
        </w:tc>
        <w:tc>
          <w:tcPr>
            <w:tcW w:type="dxa" w:w="255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Audit consentements, coûts et doublons.</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Fermeture commerciale.</w:t>
            </w:r>
          </w:p>
        </w:tc>
        <w:tc>
          <w:tcPr>
            <w:tcW w:type="dxa" w:w="136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Preuve forte ou arrêt.</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Clôture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Rattrapage ciblé.</w:t>
            </w:r>
          </w:p>
        </w:tc>
        <w:tc>
          <w:tcPr>
            <w:tcW w:type="dxa" w:w="255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Rapport et archivage.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Plan de suivi.</w:t>
            </w:r>
          </w:p>
        </w:tc>
        <w:tc>
          <w:tcPr>
            <w:tcW w:type="dxa" w:w="136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Poursuivre, corriger ou arrêter.</w:t>
            </w:r>
          </w:p>
        </w:tc>
      </w:tr>
    </w:tbl>
    <w:p>
      <w:pPr>
        <w:spacing w:after="40"/>
      </w:pPr>
    </w:p>
    <w:p>
      <w:pPr>
        <w:pStyle w:val="Heading1"/>
        <w:keepNext/>
        <w:pageBreakBefore w:val="0"/>
      </w:pPr>
      <w:r>
        <w:t>11. Organisation et gouvernance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Rôle</w:t>
            </w:r>
          </w:p>
        </w:tc>
        <w:tc>
          <w:tcPr>
            <w:tcW w:type="dxa" w:w="396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Responsabilités clés</w:t>
            </w:r>
          </w:p>
        </w:tc>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KPI principal</w:t>
            </w:r>
          </w:p>
        </w:tc>
        <w:tc>
          <w:tcPr>
            <w:tcW w:type="dxa" w:w="141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Nom</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Direction</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Stratégie, financement, décisions et engagements.</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Jalons et trésorerie.</w:t>
            </w:r>
          </w:p>
        </w:tc>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Responsable opérations</w:t>
            </w:r>
          </w:p>
        </w:tc>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Zones, sécurité, cadence, qualité et équipe.</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Dossiers complets et coût unitaire.</w:t>
            </w:r>
          </w:p>
        </w:tc>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Responsable données</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Consentement, accès, conservation, retrait et incident.</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 partage non autorisé.</w:t>
            </w:r>
          </w:p>
        </w:tc>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Responsable partenariats</w:t>
            </w:r>
          </w:p>
        </w:tc>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Qualification, propositions, contrats et encaissements.</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Preuves commerciales fortes.</w:t>
            </w:r>
          </w:p>
        </w:tc>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Agents terrain</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Présentation, observation, collecte et signalement.</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Qualité et productivité.</w:t>
            </w:r>
          </w:p>
        </w:tc>
        <w:tc>
          <w:tcPr>
            <w:tcW w:type="dxa" w:w="141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Back-office</w:t>
            </w:r>
          </w:p>
        </w:tc>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Dédoublonnage, QA, passeport et reporting.</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Délai de contrôle.</w:t>
            </w:r>
          </w:p>
        </w:tc>
        <w:tc>
          <w:tcPr>
            <w:tcW w:type="dxa" w:w="141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443A78"/>
            <w:tcMar>
              <w:top w:w="110" w:type="dxa"/>
              <w:start w:w="130" w:type="dxa"/>
              <w:bottom w:w="110" w:type="dxa"/>
              <w:end w:w="130" w:type="dxa"/>
            </w:tcMar>
            <w:tcBorders>
              <w:top w:val="nil"/>
              <w:left w:val="nil"/>
              <w:bottom w:val="nil"/>
              <w:right w:val="nil"/>
            </w:tcBorders>
          </w:tcPr>
          <w:p/>
        </w:tc>
        <w:tc>
          <w:tcPr>
            <w:tcW w:type="dxa" w:w="9072"/>
            <w:shd w:fill="EEEAF8"/>
            <w:tcMar>
              <w:top w:w="110" w:type="dxa"/>
              <w:start w:w="130" w:type="dxa"/>
              <w:bottom w:w="110" w:type="dxa"/>
              <w:end w:w="130" w:type="dxa"/>
            </w:tcMar>
            <w:tcBorders>
              <w:top w:val="nil"/>
              <w:left w:val="nil"/>
              <w:bottom w:val="nil"/>
              <w:right w:val="nil"/>
            </w:tcBorders>
          </w:tcPr>
          <w:p>
            <w:pPr>
              <w:pStyle w:val="Callouttitle"/>
            </w:pPr>
            <w:r>
              <w:t>Gouvernance minimale</w:t>
            </w:r>
          </w:p>
          <w:p>
            <w:pPr>
              <w:pStyle w:val="Callouttext"/>
            </w:pPr>
            <w:r>
              <w:t>Une personne ne doit pas pouvoir collecter, valider, partager et supprimer seule le même dossier. Les droits doivent être séparés et revus.</w:t>
            </w:r>
          </w:p>
        </w:tc>
      </w:tr>
    </w:tbl>
    <w:p>
      <w:pPr>
        <w:spacing w:after="20" w:before="0"/>
      </w:pPr>
    </w:p>
    <w:p>
      <w:pPr>
        <w:pStyle w:val="Heading1"/>
        <w:keepNext/>
        <w:pageBreakBefore w:val="0"/>
      </w:pPr>
      <w:r>
        <w:t>12. Feuille de route produit et technologie</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Phase</w:t>
            </w:r>
          </w:p>
        </w:tc>
        <w:tc>
          <w:tcPr>
            <w:tcW w:type="dxa" w:w="266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Produit</w:t>
            </w:r>
          </w:p>
        </w:tc>
        <w:tc>
          <w:tcPr>
            <w:tcW w:type="dxa" w:w="272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Condition d’entrée</w:t>
            </w:r>
          </w:p>
        </w:tc>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Condition de sortie</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0 - Manuel contrôlé</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Formulaire léger, stockage interne, tableur et PDF privé.</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Consentement et nomenclature validés.</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Processus reproductible et demande partenaire.</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1 - Back-office MVP</w:t>
            </w:r>
          </w:p>
        </w:tc>
        <w:tc>
          <w:tcPr>
            <w:tcW w:type="dxa" w:w="266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Gestion des dossiers, QA, consentements et exports.</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Au moins une preuve commerciale forte.</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Réduction mesurée du temps et des erreurs.</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2 - Portail partenaire</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Accès nommé, filtrage, expiration et journal.</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Plusieurs partenaires récurrents.</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Usage, rétention et coût support soutenables.</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3 - Automatisation ciblée</w:t>
            </w:r>
          </w:p>
        </w:tc>
        <w:tc>
          <w:tcPr>
            <w:tcW w:type="dxa" w:w="266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Détection de doublons, rappels et règles de contrôle.</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Volume suffisant et données de qualité.</w:t>
            </w:r>
          </w:p>
        </w:tc>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Gains documentés sans perte de contrôle humain.</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4 - Extension</w:t>
            </w:r>
          </w:p>
        </w:tc>
        <w:tc>
          <w:tcPr>
            <w:tcW w:type="dxa" w:w="266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Nouvelles villes, segments ou intégrations.</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Playbook stable, conformité et financement.</w:t>
            </w:r>
          </w:p>
        </w:tc>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Réplication rentable.</w:t>
            </w:r>
          </w:p>
        </w:tc>
      </w:tr>
    </w:tbl>
    <w:p>
      <w:pPr>
        <w:spacing w:after="40"/>
      </w:pPr>
    </w:p>
    <w:p>
      <w:pPr>
        <w:pStyle w:val="Heading1"/>
        <w:keepNext/>
        <w:pageBreakBefore w:val="0"/>
      </w:pPr>
      <w:r>
        <w:t>13. Gouvernance des données et conformité</w:t>
      </w:r>
    </w:p>
    <w:p>
      <w:r>
        <w:t>La conformité ne peut pas être traitée comme une annexe. La collecte de photos, voix, coordonnées, localisation et références peut constituer un traitement de données personnelles. La base légale, les formalités, la conservation et les transferts doivent être examinés par un conseil compétent au Sénégal avant le lancement réel.</w:t>
      </w:r>
    </w:p>
    <w:p>
      <w:pPr>
        <w:pStyle w:val="ListBullet"/>
      </w:pPr>
      <w:r>
        <w:t>Minimisation : ne collecter que ce qui est nécessaire au cas d’usage.</w:t>
      </w:r>
    </w:p>
    <w:p>
      <w:pPr>
        <w:pStyle w:val="ListBullet"/>
      </w:pPr>
      <w:r>
        <w:t>Consentement granulaire : collecte, photo/audio et partage sont séparés.</w:t>
      </w:r>
    </w:p>
    <w:p>
      <w:pPr>
        <w:pStyle w:val="ListBullet"/>
      </w:pPr>
      <w:r>
        <w:t>Accès : comptes nommés, moindre privilège, lecture seule et expiration.</w:t>
      </w:r>
    </w:p>
    <w:p>
      <w:pPr>
        <w:pStyle w:val="ListBullet"/>
      </w:pPr>
      <w:r>
        <w:t>Conservation : calendrier par catégorie, suppression documentée et sauvegardes contrôlées.</w:t>
      </w:r>
    </w:p>
    <w:p>
      <w:pPr>
        <w:pStyle w:val="ListBullet"/>
      </w:pPr>
      <w:r>
        <w:t>Droits : procédure d’accès, correction, retrait et suppression.</w:t>
      </w:r>
    </w:p>
    <w:p>
      <w:pPr>
        <w:pStyle w:val="ListBullet"/>
      </w:pPr>
      <w:r>
        <w:t>Incident : confinement, journal, analyse de cause et notification selon avis juridique.</w:t>
      </w:r>
    </w:p>
    <w:p>
      <w:pPr>
        <w:pStyle w:val="Sourcenote"/>
      </w:pPr>
      <w:r>
        <w:t>Sénégal - loi n° 2008-12 du 25 janvier 2008 sur la protection des données à caractère personnel - texte à vérifier dans sa version en vigueur. Commission de protection des données personnelles du Sénégal: https://www.cdp.sn/</w:t>
      </w:r>
    </w:p>
    <w:p>
      <w:pPr>
        <w:pStyle w:val="Heading1"/>
        <w:keepNext/>
        <w:pageBreakBefore w:val="0"/>
      </w:pPr>
      <w:r>
        <w:t>14. Impact et indicateurs</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Dimension</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Indicateur</w:t>
            </w:r>
          </w:p>
        </w:tc>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Cible pilote</w:t>
            </w:r>
          </w:p>
        </w:tc>
        <w:tc>
          <w:tcPr>
            <w:tcW w:type="dxa" w:w="311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Précaution</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Accès à la preuve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Profils partageables.</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200.</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Ne pas confondre avec financement obtenu.</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Qualité</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Taux de dossiers complets.</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Seuil à fixer avant jour 1.</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Méthode d’échantillonnage documentée.</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Consentement</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Partages avec autorisation compatible.</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100 %.</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Un consentement invalide annule le partage.</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Efficacité</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Coût complet par vérification.</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Mesuré chaque semaine.</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Inclure coûts centraux et reprises.</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Commercial</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Paiement, contrat, bon ou LOI forte.</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Au moins 1.</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Une conversation ne suffit pas.</w:t>
            </w:r>
          </w:p>
        </w:tc>
      </w:tr>
      <w:tr>
        <w:trPr>
          <w:cantSplit/>
        </w:trPr>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Sécurité</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Incidents critiques de données ou terrain.</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0.</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Tout incident fait l’objet d’une décision.</w:t>
            </w:r>
          </w:p>
        </w:tc>
      </w:tr>
      <w:tr>
        <w:trPr>
          <w:cantSplit/>
        </w:trPr>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Inclusion</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Part des femmes, jeunes ou groupes ciblés.</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Mesure descriptive.</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Pas de ciblage discriminatoire.</w:t>
            </w:r>
          </w:p>
        </w:tc>
      </w:tr>
    </w:tbl>
    <w:p>
      <w:pPr>
        <w:spacing w:after="40"/>
      </w:pPr>
    </w:p>
    <w:p>
      <w:pPr>
        <w:pStyle w:val="Heading1"/>
        <w:keepNext/>
        <w:pageBreakBefore w:val="0"/>
      </w:pPr>
      <w:r>
        <w:t>15. Plan financier sur 36 mois</w:t>
      </w:r>
    </w:p>
    <w:p>
      <w:r>
        <w:t>Le scénario de base part du pilote, puis augmente progressivement les volumes payants, les partenaires et les effectifs. Contrairement au scénario initial à trois mois, il intègre les coûts de direction, technologie, commercial, administration, conformité continue et capacité terrain.</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13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Année</w:t>
            </w:r>
          </w:p>
        </w:tc>
        <w:tc>
          <w:tcPr>
            <w:tcW w:type="dxa" w:w="272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Chiffre d’affaires</w:t>
            </w:r>
          </w:p>
        </w:tc>
        <w:tc>
          <w:tcPr>
            <w:tcW w:type="dxa" w:w="272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Charges</w:t>
            </w:r>
          </w:p>
        </w:tc>
        <w:tc>
          <w:tcPr>
            <w:tcW w:type="dxa" w:w="277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Résultat opérationnel</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2026</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5 555 545 FCFA</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17 946 500 FCFA</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(12 390 955 FCFA)</w:t>
            </w:r>
          </w:p>
        </w:tc>
      </w:tr>
      <w:tr>
        <w:trPr>
          <w:cantSplit/>
        </w:trPr>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2027</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50 334 045 FCFA</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68 010 000 FCFA</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(17 675 955 FCFA)</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2028</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150 239 636 FCFA</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122 940 000 FCFA</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27 299 636 FCFA</w:t>
            </w:r>
          </w:p>
        </w:tc>
      </w:tr>
      <w:tr>
        <w:trPr>
          <w:cantSplit/>
        </w:trPr>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2029</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131 427 045 FCFA</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85 050 000 FCFA</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46 377 045 FCFA</w:t>
            </w:r>
          </w:p>
        </w:tc>
      </w:tr>
    </w:tbl>
    <w:p>
      <w:pPr>
        <w:spacing w:after="40"/>
      </w:pPr>
    </w:p>
    <w:p>
      <w:pPr>
        <w:keepLines/>
        <w:jc w:val="center"/>
      </w:pPr>
      <w:r/>
    </w:p>
    <w:p>
      <w:pPr>
        <w:pStyle w:val="Smallnote"/>
        <w:jc w:val="center"/>
      </w:pPr>
      <w:r>
        <w:rPr>
          <w:b/>
        </w:rPr>
        <w:t>Résultat opérationnel mensuel - scénario de base</w:t>
      </w:r>
    </w:p>
    <w:p>
      <w:pPr>
        <w:pStyle w:val="Sourcenote"/>
        <w:jc w:val="center"/>
      </w:pPr>
      <w:r>
        <w:t>Source : modèle financier Dëggal; hypothèses modifiables.</w:t>
      </w:r>
    </w:p>
    <w:p>
      <w:r>
        <w:t>Le point mort mensuel du scénario de base intervient en février 2028. Le besoin cumulé maximal avant apport financier est estimé à environ 30 144 364 FCFA. Cette estimation ne comprend pas d’impôt sur les sociétés, de TVA, de dette ni de coûts réglementaires exceptionnels; ces paramètres restent à valider.</w:t>
      </w:r>
    </w:p>
    <w:p>
      <w:pPr>
        <w:pStyle w:val="Heading1"/>
        <w:keepNext/>
        <w:pageBreakBefore w:val="0"/>
      </w:pPr>
      <w:r>
        <w:t>16. Stratégie de financement</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75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Tranche</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Montant indicatif</w:t>
            </w:r>
          </w:p>
        </w:tc>
        <w:tc>
          <w:tcPr>
            <w:tcW w:type="dxa" w:w="300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Déclencheur</w:t>
            </w:r>
          </w:p>
        </w:tc>
        <w:tc>
          <w:tcPr>
            <w:tcW w:type="dxa" w:w="260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Usage</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Pilote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2,5 M FCFA</w:t>
            </w:r>
          </w:p>
        </w:tc>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Cadre juridique, équipe, zones et reporting validés.</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30 jours de collecte, QA, partenaires et rapport.</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Validation 6 mois</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12 à 15 M FCFA</w:t>
            </w:r>
          </w:p>
        </w:tc>
        <w:tc>
          <w:tcPr>
            <w:tcW w:type="dxa" w:w="300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Qualité démontrée, coût mesuré et preuve commerciale encaissée.</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Produit back-office, commercial, conformité et répétition.</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Industrialisation</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20 à 25 M FCFA</w:t>
            </w:r>
          </w:p>
        </w:tc>
        <w:tc>
          <w:tcPr>
            <w:tcW w:type="dxa" w:w="300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Revenus récurrents, rétention et capacité de réplication.</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Technologie, équipe, extension et fonds de roulement.</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Principe de financement</w:t>
            </w:r>
          </w:p>
          <w:p>
            <w:pPr>
              <w:pStyle w:val="Callouttext"/>
            </w:pPr>
            <w:r>
              <w:t>Ne pas lever une enveloppe d’industrialisation sur la seule base des objectifs du pilote. Chaque tranche doit être liée à des preuves et à des droits de revue.</w:t>
            </w:r>
          </w:p>
        </w:tc>
      </w:tr>
    </w:tbl>
    <w:p>
      <w:pPr>
        <w:spacing w:after="20" w:before="0"/>
      </w:pPr>
    </w:p>
    <w:p>
      <w:pPr>
        <w:pStyle w:val="Heading1"/>
        <w:keepNext/>
        <w:pageBreakBefore w:val="0"/>
      </w:pPr>
      <w:r>
        <w:t>17. Risques et mesures de maîtrise</w:t>
      </w:r>
    </w:p>
    <w:tbl>
      <w:tblPr>
        <w:tblW w:type="auto" w:w="0"/>
        <w:jc w:val="center"/>
        <w:tblLayout w:type="fixed"/>
        <w:tblLook w:firstColumn="1" w:firstRow="1" w:lastColumn="0" w:lastRow="0" w:noHBand="0" w:noVBand="1" w:val="04A0"/>
      </w:tblPr>
      <w:tblGrid>
        <w:gridCol w:w="1911"/>
        <w:gridCol w:w="1911"/>
        <w:gridCol w:w="1911"/>
        <w:gridCol w:w="1911"/>
        <w:gridCol w:w="1911"/>
      </w:tblGrid>
      <w:tr>
        <w:trPr>
          <w:tblHeader w:val="true"/>
        </w:trPr>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Risque</w:t>
            </w:r>
          </w:p>
        </w:tc>
        <w:tc>
          <w:tcPr>
            <w:tcW w:type="dxa" w:w="130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Probabilité</w:t>
            </w:r>
          </w:p>
        </w:tc>
        <w:tc>
          <w:tcPr>
            <w:tcW w:type="dxa" w:w="113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Impact</w:t>
            </w:r>
          </w:p>
        </w:tc>
        <w:tc>
          <w:tcPr>
            <w:tcW w:type="dxa" w:w="345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Contrôle principal</w:t>
            </w:r>
          </w:p>
        </w:tc>
        <w:tc>
          <w:tcPr>
            <w:tcW w:type="dxa" w:w="147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KRI</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Consentement invalide</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Moyenne</w:t>
            </w:r>
          </w:p>
        </w:tc>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Critique</w:t>
            </w:r>
          </w:p>
        </w:tc>
        <w:tc>
          <w:tcPr>
            <w:tcW w:type="dxa" w:w="345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Script, trace distincte et QA.</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 dossiers sans preuve de consentement.</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Faible disposition à payer</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Élevée</w:t>
            </w:r>
          </w:p>
        </w:tc>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Critique</w:t>
            </w:r>
          </w:p>
        </w:tc>
        <w:tc>
          <w:tcPr>
            <w:tcW w:type="dxa" w:w="345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Pilotage payant avant développement.</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Encaissements / propositions.</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Coût par visite trop élevé</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Élevée</w:t>
            </w:r>
          </w:p>
        </w:tc>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Élevé</w:t>
            </w:r>
          </w:p>
        </w:tc>
        <w:tc>
          <w:tcPr>
            <w:tcW w:type="dxa" w:w="345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Chronométrage, zones denses et coût complet.</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Coût complet par profil.</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Fraude ou doublon</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Moyenne</w:t>
            </w:r>
          </w:p>
        </w:tc>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Élevé</w:t>
            </w:r>
          </w:p>
        </w:tc>
        <w:tc>
          <w:tcPr>
            <w:tcW w:type="dxa" w:w="345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Références croisées, dédoublonnage et statut bloqué.</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Taux d’alertes confirmées.</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Incident de données</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Faible à moyenne</w:t>
            </w:r>
          </w:p>
        </w:tc>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Critique</w:t>
            </w:r>
          </w:p>
        </w:tc>
        <w:tc>
          <w:tcPr>
            <w:tcW w:type="dxa" w:w="345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Moindre privilège, chiffrement, journal et retrait.</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Accès anormaux / liens publics.</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Risque terrain</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Moyenne</w:t>
            </w:r>
          </w:p>
        </w:tc>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Élevé</w:t>
            </w:r>
          </w:p>
        </w:tc>
        <w:tc>
          <w:tcPr>
            <w:tcW w:type="dxa" w:w="345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Zonage, binôme, horaires et protocole sécurité.</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Incidents et quasi-incidents.</w:t>
            </w:r>
          </w:p>
        </w:tc>
      </w:tr>
      <w:tr>
        <w:trPr>
          <w:cantSplit/>
        </w:trPr>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Dépendance au fondateur</w:t>
            </w:r>
          </w:p>
        </w:tc>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Élevée</w:t>
            </w:r>
          </w:p>
        </w:tc>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Moyen</w:t>
            </w:r>
          </w:p>
        </w:tc>
        <w:tc>
          <w:tcPr>
            <w:tcW w:type="dxa" w:w="345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RACI, procédures et délégation.</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Tâches sans suppléant.</w:t>
            </w:r>
          </w:p>
        </w:tc>
      </w:tr>
      <w:tr>
        <w:trPr>
          <w:cantSplit/>
        </w:trPr>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Sous-financement</w:t>
            </w:r>
          </w:p>
        </w:tc>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Élevée</w:t>
            </w:r>
          </w:p>
        </w:tc>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Critique</w:t>
            </w:r>
          </w:p>
        </w:tc>
        <w:tc>
          <w:tcPr>
            <w:tcW w:type="dxa" w:w="345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Tranches, cash-flow hebdomadaire et scénarios.</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Runway en semaines.</w:t>
            </w:r>
          </w:p>
        </w:tc>
      </w:tr>
    </w:tbl>
    <w:p>
      <w:pPr>
        <w:spacing w:after="40"/>
      </w:pPr>
    </w:p>
    <w:p>
      <w:pPr>
        <w:pStyle w:val="Heading1"/>
        <w:keepNext/>
        <w:pageBreakBefore w:val="0"/>
      </w:pPr>
      <w:r>
        <w:t>18. Jalons et décisions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47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Jalon</w:t>
            </w:r>
          </w:p>
        </w:tc>
        <w:tc>
          <w:tcPr>
            <w:tcW w:type="dxa" w:w="5273"/>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Preuve</w:t>
            </w:r>
          </w:p>
        </w:tc>
        <w:tc>
          <w:tcPr>
            <w:tcW w:type="dxa" w:w="260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Décision</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Jour 7</w:t>
            </w:r>
          </w:p>
        </w:tc>
        <w:tc>
          <w:tcPr>
            <w:tcW w:type="dxa" w:w="527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Processus, consentement, QA et sécurité stables.</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Accélérer ou recalibrer.</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Jour 15</w:t>
            </w:r>
          </w:p>
        </w:tc>
        <w:tc>
          <w:tcPr>
            <w:tcW w:type="dxa" w:w="527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Premiers profils utiles et retours partenaires écrits.</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Cibler le segment le plus prometteur.</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Jour 30</w:t>
            </w:r>
          </w:p>
        </w:tc>
        <w:tc>
          <w:tcPr>
            <w:tcW w:type="dxa" w:w="527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Qualité, coût, rapport et preuve commerciale forte.</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Phase 2 ou arrêt.</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Mois 3</w:t>
            </w:r>
          </w:p>
        </w:tc>
        <w:tc>
          <w:tcPr>
            <w:tcW w:type="dxa" w:w="527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Revenus encaissés et commandes répétées.</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Construire le back-office MVP.</w:t>
            </w:r>
          </w:p>
        </w:tc>
      </w:tr>
      <w:tr>
        <w:trPr>
          <w:cantSplit/>
        </w:trPr>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Mois 6</w:t>
            </w:r>
          </w:p>
        </w:tc>
        <w:tc>
          <w:tcPr>
            <w:tcW w:type="dxa" w:w="5273"/>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Rétention, coût contributif et discipline données.</w:t>
            </w:r>
          </w:p>
        </w:tc>
        <w:tc>
          <w:tcPr>
            <w:tcW w:type="dxa" w:w="260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Financer l’industrialisation.</w:t>
            </w:r>
          </w:p>
        </w:tc>
      </w:tr>
      <w:tr>
        <w:trPr>
          <w:cantSplit/>
        </w:trPr>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Mois 12</w:t>
            </w:r>
          </w:p>
        </w:tc>
        <w:tc>
          <w:tcPr>
            <w:tcW w:type="dxa" w:w="5273"/>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Playbook réplicable et gouvernance robuste.</w:t>
            </w:r>
          </w:p>
        </w:tc>
        <w:tc>
          <w:tcPr>
            <w:tcW w:type="dxa" w:w="260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Étendre ou consolider.</w:t>
            </w:r>
          </w:p>
        </w:tc>
      </w:tr>
    </w:tbl>
    <w:p>
      <w:pPr>
        <w:spacing w:after="40"/>
      </w:pPr>
    </w:p>
    <w:p>
      <w:pPr>
        <w:pStyle w:val="Heading1"/>
        <w:keepNext/>
        <w:pageBreakBefore w:val="0"/>
      </w:pPr>
      <w:r>
        <w:t>19. Informations obligatoires avant dépôt final</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413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Information</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Responsable</w:t>
            </w:r>
          </w:p>
        </w:tc>
        <w:tc>
          <w:tcPr>
            <w:tcW w:type="dxa" w:w="187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Échéance</w:t>
            </w:r>
          </w:p>
        </w:tc>
        <w:tc>
          <w:tcPr>
            <w:tcW w:type="dxa" w:w="136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Statut</w:t>
            </w:r>
          </w:p>
        </w:tc>
      </w:tr>
      <w:tr>
        <w:trPr>
          <w:cantSplit/>
        </w:trPr>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Entité légale, registre, siège et représentant</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Direction</w:t>
            </w:r>
          </w:p>
        </w:tc>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Avant signature</w:t>
            </w:r>
          </w:p>
        </w:tc>
        <w:tc>
          <w:tcPr>
            <w:tcW w:type="dxa" w:w="136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Équipe nominative et biographies</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Direction</w:t>
            </w:r>
          </w:p>
        </w:tc>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Avant présentation investisseur</w:t>
            </w:r>
          </w:p>
        </w:tc>
        <w:tc>
          <w:tcPr>
            <w:tcW w:type="dxa" w:w="136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compléter</w:t>
            </w:r>
          </w:p>
        </w:tc>
      </w:tr>
      <w:tr>
        <w:trPr>
          <w:cantSplit/>
        </w:trPr>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Conseil juridique et formalités données</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Responsable données</w:t>
            </w:r>
          </w:p>
        </w:tc>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Avant collecte réelle</w:t>
            </w:r>
          </w:p>
        </w:tc>
        <w:tc>
          <w:tcPr>
            <w:tcW w:type="dxa" w:w="136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valider</w:t>
            </w:r>
          </w:p>
        </w:tc>
      </w:tr>
      <w:tr>
        <w:trPr>
          <w:cantSplit/>
        </w:trPr>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Fiscalité, TVA et facturation</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Finance + conseil</w:t>
            </w:r>
          </w:p>
        </w:tc>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Avant première facture</w:t>
            </w:r>
          </w:p>
        </w:tc>
        <w:tc>
          <w:tcPr>
            <w:tcW w:type="dxa" w:w="136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valider</w:t>
            </w:r>
          </w:p>
        </w:tc>
      </w:tr>
      <w:tr>
        <w:trPr>
          <w:cantSplit/>
        </w:trPr>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Coordonnées partenaires et mandats actuels</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Partenariats</w:t>
            </w:r>
          </w:p>
        </w:tc>
        <w:tc>
          <w:tcPr>
            <w:tcW w:type="dxa" w:w="187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Avant envoi</w:t>
            </w:r>
          </w:p>
        </w:tc>
        <w:tc>
          <w:tcPr>
            <w:tcW w:type="dxa" w:w="136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vérifier</w:t>
            </w:r>
          </w:p>
        </w:tc>
      </w:tr>
      <w:tr>
        <w:trPr>
          <w:cantSplit/>
        </w:trPr>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Traction réelle et pièces justificatives</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Direction</w:t>
            </w:r>
          </w:p>
        </w:tc>
        <w:tc>
          <w:tcPr>
            <w:tcW w:type="dxa" w:w="187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À mesure</w:t>
            </w:r>
          </w:p>
        </w:tc>
        <w:tc>
          <w:tcPr>
            <w:tcW w:type="dxa" w:w="136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Aucune fournie</w:t>
            </w:r>
          </w:p>
        </w:tc>
      </w:tr>
    </w:tbl>
    <w:p>
      <w:pPr>
        <w:spacing w:after="40"/>
      </w:pPr>
    </w:p>
    <w:p>
      <w:pPr>
        <w:pStyle w:val="Heading1"/>
        <w:keepNext/>
        <w:pageBreakBefore w:val="0"/>
      </w:pPr>
      <w:r>
        <w:t>20. Sources</w:t>
      </w:r>
    </w:p>
    <w:p>
      <w:pPr>
        <w:pStyle w:val="Sourcenote"/>
      </w:pPr>
      <w:r>
        <w:t>Pack Dëggal reconstruit, version du 12 juillet 2026 - source interne.</w:t>
      </w:r>
    </w:p>
    <w:p>
      <w:pPr>
        <w:pStyle w:val="Sourcenote"/>
      </w:pPr>
      <w:r>
        <w:t>OIT - économie informelle: https://www.ilo.org/topics-and-sectors/informal-economy</w:t>
      </w:r>
    </w:p>
    <w:p>
      <w:pPr>
        <w:pStyle w:val="Sourcenote"/>
      </w:pPr>
      <w:r>
        <w:t>ANSD Sénégal - statistiques et enquêtes nationales: https://www.ansd.sn/</w:t>
      </w:r>
    </w:p>
    <w:p>
      <w:pPr>
        <w:pStyle w:val="Sourcenote"/>
      </w:pPr>
      <w:r>
        <w:t>Banque mondiale - Global Findex 2021: https://www.worldbank.org/en/publication/globalfindex</w:t>
      </w:r>
    </w:p>
    <w:p>
      <w:pPr>
        <w:pStyle w:val="Sourcenote"/>
      </w:pPr>
      <w:r>
        <w:t>GSMA - State of the Industry Report on Mobile Money: https://www.gsma.com/sotir/</w:t>
      </w:r>
    </w:p>
    <w:p>
      <w:pPr>
        <w:pStyle w:val="Sourcenote"/>
      </w:pPr>
      <w:r>
        <w:t>BCEAO - publications sur l’inclusion financière dans l’UEMOA: https://www.bceao.int/</w:t>
      </w:r>
    </w:p>
    <w:p>
      <w:pPr>
        <w:pStyle w:val="Sourcenote"/>
      </w:pPr>
      <w:r>
        <w:t>Commission de protection des données personnelles du Sénégal: https://www.cdp.sn/</w:t>
      </w:r>
    </w:p>
    <w:p>
      <w:pPr>
        <w:pStyle w:val="Sourcenote"/>
      </w:pPr>
      <w:r>
        <w:t>OHADA - actes uniformes applicables aux sociétés et aux contrats commerciaux: https://www.ohada.org/</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Avertissement</w:t>
            </w:r>
          </w:p>
          <w:p>
            <w:pPr>
              <w:pStyle w:val="Callouttext"/>
            </w:pPr>
            <w:r>
              <w:t>Les données externes doivent être actualisées avant dépôt. Les prévisions sont des scénarios, non des résultats historiques, et ne constituent ni une promesse de rendement ni une valorisation.</w:t>
            </w:r>
          </w:p>
        </w:tc>
      </w:tr>
    </w:tbl>
    <w:p>
      <w:pPr>
        <w:spacing w:after="20" w:before="0"/>
      </w:pPr>
    </w:p>
    <w:sectPr w:rsidR="00FC693F" w:rsidRPr="0006063C" w:rsidSect="00034616">
      <w:headerReference w:type="default" r:id="rId10"/>
      <w:footerReference w:type="default" r:id="rId11"/>
      <w:pgSz w:w="11906" w:h="16838"/>
      <w:pgMar w:top="1134" w:right="1134" w:bottom="1020" w:left="1219" w:header="397" w:footer="369" w:gutter="0"/>
      <w:cols w:space="720"/>
      <w:titlePg/>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84"/>
      <w:gridCol w:w="3184"/>
      <w:gridCol w:w="3184"/>
    </w:tblGrid>
    <w:tr>
      <w:tc>
        <w:tcPr>
          <w:tcW w:type="dxa" w:w="2551"/>
          <w:tcBorders>
            <w:top w:val="single" w:sz="4" w:color="D6DEDA"/>
          </w:tcBorders>
        </w:tcPr>
        <w:p>
          <w:pPr>
            <w:spacing w:before="40" w:after="0"/>
            <w:jc w:val="left"/>
          </w:pPr>
          <w:r>
            <w:rPr>
              <w:color w:val="6D7471"/>
              <w:sz w:val="14"/>
            </w:rPr>
            <w:t>Confidentiel - diffusion contrôlée</w:t>
          </w:r>
        </w:p>
      </w:tc>
      <w:tc>
        <w:tcPr>
          <w:tcW w:type="dxa" w:w="4450"/>
          <w:tcBorders>
            <w:top w:val="single" w:sz="4" w:color="D6DEDA"/>
          </w:tcBorders>
        </w:tcPr>
        <w:p>
          <w:pPr>
            <w:spacing w:before="40" w:after="0"/>
            <w:jc w:val="center"/>
          </w:pPr>
          <w:r>
            <w:rPr>
              <w:color w:val="6D7471"/>
              <w:sz w:val="14"/>
            </w:rPr>
            <w:t>12 juillet 2026</w:t>
          </w:r>
        </w:p>
      </w:tc>
      <w:tc>
        <w:tcPr>
          <w:tcW w:type="dxa" w:w="2551"/>
          <w:tcBorders>
            <w:top w:val="single" w:sz="4" w:color="D6DEDA"/>
          </w:tcBorders>
        </w:tcPr>
        <w:p>
          <w:pPr>
            <w:spacing w:before="40" w:after="0"/>
            <w:jc w:val="center"/>
          </w:pPr>
          <w:r>
            <w:rPr>
              <w:color w:val="6D7471"/>
              <w:sz w:val="14"/>
            </w:rPr>
            <w:t xml:space="preserve">Page </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3184"/>
      <w:gridCol w:w="3184"/>
      <w:gridCol w:w="3184"/>
    </w:tblGrid>
    <w:tr>
      <w:tc>
        <w:tcPr>
          <w:tcW w:type="dxa" w:w="2551"/>
          <w:tcBorders>
            <w:bottom w:val="single" w:sz="8" w:color="D4A936"/>
          </w:tcBorders>
        </w:tcPr>
        <w:p>
          <w:pPr>
            <w:spacing w:after="40"/>
            <w:jc w:val="left"/>
          </w:pPr>
          <w:r>
            <w:rPr>
              <w:rFonts w:ascii="Carlito" w:hAnsi="Carlito"/>
              <w:b/>
              <w:color w:val="0B5947"/>
              <w:sz w:val="15"/>
            </w:rPr>
            <w:t>DËGGAL</w:t>
          </w:r>
        </w:p>
      </w:tc>
      <w:tc>
        <w:tcPr>
          <w:tcW w:type="dxa" w:w="4450"/>
          <w:tcBorders>
            <w:bottom w:val="single" w:sz="8" w:color="D4A936"/>
          </w:tcBorders>
        </w:tcPr>
        <w:p>
          <w:pPr>
            <w:spacing w:after="40"/>
            <w:jc w:val="center"/>
          </w:pPr>
          <w:r>
            <w:rPr>
              <w:rFonts w:ascii="Carlito" w:hAnsi="Carlito"/>
              <w:b w:val="0"/>
              <w:color w:val="6D7471"/>
              <w:sz w:val="15"/>
            </w:rPr>
            <w:t>Business plan - édition consolidée</w:t>
          </w:r>
        </w:p>
      </w:tc>
      <w:tc>
        <w:tcPr>
          <w:tcW w:type="dxa" w:w="2551"/>
          <w:tcBorders>
            <w:bottom w:val="single" w:sz="8" w:color="D4A936"/>
          </w:tcBorders>
        </w:tcPr>
        <w:p>
          <w:pPr>
            <w:spacing w:after="40"/>
            <w:jc w:val="right"/>
          </w:pPr>
          <w:r>
            <w:rPr>
              <w:rFonts w:ascii="Carlito" w:hAnsi="Carlito"/>
              <w:b w:val="0"/>
              <w:color w:val="6D7471"/>
              <w:sz w:val="15"/>
            </w:rPr>
            <w:t>Édition consolidée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10" w:line="271" w:lineRule="auto"/>
    </w:pPr>
    <w:rPr>
      <w:rFonts w:ascii="Carlito" w:hAnsi="Carlito"/>
      <w:color w:val="1F2A26"/>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Cabin" w:hAnsi="Cabin"/>
      <w:b/>
      <w:bCs/>
      <w:color w:val="0B5947"/>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Cabin" w:hAnsi="Cabin"/>
      <w:b/>
      <w:bCs/>
      <w:color w:val="C97B42"/>
      <w:sz w:val="25"/>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Cabin" w:hAnsi="Cabin"/>
      <w:b/>
      <w:bCs/>
      <w:color w:val="443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Cabin" w:hAnsi="Cabin"/>
      <w:b/>
      <w:color w:val="0B5947"/>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bin" w:hAnsi="Cabin"/>
      <w:b w:val="0"/>
      <w:i/>
      <w:iCs/>
      <w:color w:val="6D747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rlito" w:hAnsi="Carlito"/>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rlito" w:hAnsi="Carlito"/>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40"/>
    </w:pPr>
    <w:rPr>
      <w:rFonts w:ascii="Carlito" w:hAnsi="Carlito"/>
      <w:color w:val="6D7471"/>
      <w:sz w:val="16"/>
    </w:rPr>
  </w:style>
  <w:style w:type="paragraph" w:customStyle="1" w:styleId="Sourcenote">
    <w:name w:val="Source note"/>
    <w:pPr>
      <w:spacing w:before="40" w:after="80"/>
    </w:pPr>
    <w:rPr>
      <w:rFonts w:ascii="Carlito" w:hAnsi="Carlito"/>
      <w:i/>
      <w:color w:val="6D7471"/>
      <w:sz w:val="15"/>
    </w:rPr>
  </w:style>
  <w:style w:type="paragraph" w:customStyle="1" w:styleId="Tabletext">
    <w:name w:val="Table text"/>
    <w:pPr>
      <w:spacing w:after="0" w:line="240" w:lineRule="auto"/>
    </w:pPr>
    <w:rPr>
      <w:rFonts w:ascii="Carlito" w:hAnsi="Carlito"/>
      <w:color w:val="1F2A26"/>
      <w:sz w:val="17"/>
    </w:rPr>
  </w:style>
  <w:style w:type="paragraph" w:customStyle="1" w:styleId="KPIlabel">
    <w:name w:val="KPI label"/>
    <w:pPr>
      <w:spacing w:after="0"/>
    </w:pPr>
    <w:rPr>
      <w:rFonts w:ascii="Carlito" w:hAnsi="Carlito"/>
      <w:b/>
      <w:color w:val="6D7471"/>
      <w:sz w:val="15"/>
    </w:rPr>
  </w:style>
  <w:style w:type="paragraph" w:customStyle="1" w:styleId="KPIvalue">
    <w:name w:val="KPI value"/>
    <w:pPr>
      <w:spacing w:after="20"/>
    </w:pPr>
    <w:rPr>
      <w:rFonts w:ascii="Cabin" w:hAnsi="Cabin"/>
      <w:b/>
      <w:color w:val="0B5947"/>
      <w:sz w:val="32"/>
    </w:rPr>
  </w:style>
  <w:style w:type="paragraph" w:customStyle="1" w:styleId="Callouttitle">
    <w:name w:val="Callout title"/>
    <w:pPr>
      <w:spacing w:after="40"/>
    </w:pPr>
    <w:rPr>
      <w:rFonts w:ascii="Cabin" w:hAnsi="Cabin"/>
      <w:b/>
      <w:color w:val="143B31"/>
      <w:sz w:val="20"/>
    </w:rPr>
  </w:style>
  <w:style w:type="paragraph" w:customStyle="1" w:styleId="Callouttext">
    <w:name w:val="Callout text"/>
    <w:pPr>
      <w:spacing w:after="20"/>
    </w:pPr>
    <w:rPr>
      <w:rFonts w:ascii="Carlito" w:hAnsi="Carlito"/>
      <w:color w:val="1F2A2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image" Target="media/image2.png"/><Relationship Id="rId13"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