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300"/>
        <w:jc w:val="center"/>
      </w:pPr>
      <w:r>
        <w:rPr>
          <w:rFonts w:ascii="Cabin" w:hAnsi="Cabin"/>
          <w:b/>
          <w:color w:val="0B5947"/>
          <w:sz w:val="24"/>
        </w:rPr>
        <w:t>DËGGAL</w:t>
      </w:r>
    </w:p>
    <w:p>
      <w:pPr>
        <w:spacing w:after="240"/>
        <w:jc w:val="center"/>
      </w:pPr>
      <w:r>
        <w:rPr>
          <w:sz w:val="15"/>
        </w:rPr>
        <w:t>INFRASTRUCTURE DE PREUVE POUR LES ACTIVITÉS ÉCONOMIQUES INFORMELLES</w:t>
      </w:r>
    </w:p>
    <w:p>
      <w:pPr>
        <w:jc w:val="center"/>
      </w:pPr>
      <w:r/>
    </w:p>
    <w:p>
      <w:pPr>
        <w:spacing w:before="160" w:after="60"/>
        <w:jc w:val="center"/>
      </w:pPr>
      <w:r>
        <w:rPr>
          <w:rFonts w:ascii="Cabin" w:hAnsi="Cabin"/>
          <w:b/>
          <w:color w:val="D4A936"/>
          <w:sz w:val="18"/>
        </w:rPr>
        <w:t>EXECUTIVE SUMMARY</w:t>
      </w:r>
    </w:p>
    <w:p>
      <w:pPr>
        <w:pStyle w:val="Title"/>
        <w:jc w:val="center"/>
      </w:pPr>
      <w:r>
        <w:t>Résumé exécutif du pilote Dakar</w:t>
      </w:r>
    </w:p>
    <w:p>
      <w:pPr>
        <w:pStyle w:val="Subtitle"/>
        <w:jc w:val="center"/>
      </w:pPr>
      <w:r>
        <w:t>Décision de financement, proposition de valeur et conditions de validation</w:t>
      </w:r>
    </w:p>
    <w:p/>
    <w:tbl>
      <w:tblPr>
        <w:tblW w:type="auto" w:w="0"/>
        <w:jc w:val="center"/>
        <w:tblLayout w:type="fixed"/>
        <w:tblLook w:firstColumn="1" w:firstRow="1" w:lastColumn="0" w:lastRow="0" w:noHBand="0" w:noVBand="1" w:val="04A0"/>
      </w:tblPr>
      <w:tblGrid>
        <w:gridCol w:w="4819"/>
        <w:gridCol w:w="4819"/>
      </w:tblGrid>
      <w:tr>
        <w:tc>
          <w:tcPr>
            <w:tcW w:type="dxa" w:w="2041"/>
            <w:shd w:fill="0B5947"/>
            <w:tcMar>
              <w:top w:w="110" w:type="dxa"/>
              <w:start w:w="120" w:type="dxa"/>
              <w:bottom w:w="110" w:type="dxa"/>
              <w:end w:w="120" w:type="dxa"/>
            </w:tcMar>
            <w:tcBorders>
              <w:bottom w:val="single" w:sz="4" w:color="D6DEDA"/>
            </w:tcBorders>
          </w:tcPr>
          <w:p>
            <w:pPr>
              <w:pStyle w:val="Tabletext"/>
            </w:pPr>
            <w:r>
              <w:rPr>
                <w:b/>
                <w:color w:val="FFFFFF"/>
              </w:rPr>
              <w:t>Statut</w:t>
            </w:r>
          </w:p>
        </w:tc>
        <w:tc>
          <w:tcPr>
            <w:tcW w:type="dxa" w:w="6237"/>
            <w:shd w:fill="F2F4F3"/>
            <w:tcMar>
              <w:top w:w="110" w:type="dxa"/>
              <w:start w:w="120" w:type="dxa"/>
              <w:bottom w:w="110" w:type="dxa"/>
              <w:end w:w="120" w:type="dxa"/>
            </w:tcMar>
            <w:tcBorders>
              <w:bottom w:val="single" w:sz="4" w:color="D6DEDA"/>
            </w:tcBorders>
          </w:tcPr>
          <w:p>
            <w:pPr>
              <w:pStyle w:val="Tabletext"/>
            </w:pPr>
            <w:r>
              <w:t>Édition consolidée - diffusion externe après validation des champs bloquants</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Édition</w:t>
            </w:r>
          </w:p>
        </w:tc>
        <w:tc>
          <w:tcPr>
            <w:tcW w:type="dxa" w:w="6237"/>
            <w:shd w:fill="FFFFFF"/>
            <w:tcMar>
              <w:top w:w="110" w:type="dxa"/>
              <w:start w:w="120" w:type="dxa"/>
              <w:bottom w:w="110" w:type="dxa"/>
              <w:end w:w="120" w:type="dxa"/>
            </w:tcMar>
            <w:tcBorders>
              <w:bottom w:val="single" w:sz="4" w:color="D6DEDA"/>
            </w:tcBorders>
          </w:tcPr>
          <w:p>
            <w:pPr>
              <w:pStyle w:val="Tabletext"/>
            </w:pPr>
            <w:r>
              <w:t>Consolidée</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Audience</w:t>
            </w:r>
          </w:p>
        </w:tc>
        <w:tc>
          <w:tcPr>
            <w:tcW w:type="dxa" w:w="6237"/>
            <w:shd w:fill="F2F4F3"/>
            <w:tcMar>
              <w:top w:w="110" w:type="dxa"/>
              <w:start w:w="120" w:type="dxa"/>
              <w:bottom w:w="110" w:type="dxa"/>
              <w:end w:w="120" w:type="dxa"/>
            </w:tcMar>
            <w:tcBorders>
              <w:bottom w:val="single" w:sz="4" w:color="D6DEDA"/>
            </w:tcBorders>
          </w:tcPr>
          <w:p>
            <w:pPr>
              <w:pStyle w:val="Tabletext"/>
            </w:pPr>
            <w:r>
              <w:t>Financeurs, incubateurs, partenaires institutionnels et comité de direction</w:t>
            </w:r>
          </w:p>
        </w:tc>
      </w:tr>
      <w:tr>
        <w:tc>
          <w:tcPr>
            <w:tcW w:type="dxa" w:w="2041"/>
            <w:shd w:fill="EAF3EF"/>
            <w:tcMar>
              <w:top w:w="110" w:type="dxa"/>
              <w:start w:w="120" w:type="dxa"/>
              <w:bottom w:w="110" w:type="dxa"/>
              <w:end w:w="120" w:type="dxa"/>
            </w:tcMar>
            <w:tcBorders>
              <w:bottom w:val="single" w:sz="4" w:color="D6DEDA"/>
            </w:tcBorders>
          </w:tcPr>
          <w:p>
            <w:pPr>
              <w:pStyle w:val="Tabletext"/>
            </w:pPr>
            <w:r>
              <w:rPr>
                <w:b/>
              </w:rPr>
              <w:t>Édition</w:t>
            </w:r>
          </w:p>
        </w:tc>
        <w:tc>
          <w:tcPr>
            <w:tcW w:type="dxa" w:w="6237"/>
            <w:shd w:fill="FFFFFF"/>
            <w:tcMar>
              <w:top w:w="110" w:type="dxa"/>
              <w:start w:w="120" w:type="dxa"/>
              <w:bottom w:w="110" w:type="dxa"/>
              <w:end w:w="120" w:type="dxa"/>
            </w:tcMar>
            <w:tcBorders>
              <w:bottom w:val="single" w:sz="4" w:color="D6DEDA"/>
            </w:tcBorders>
          </w:tcPr>
          <w:p>
            <w:pPr>
              <w:pStyle w:val="Tabletext"/>
            </w:pPr>
            <w:r>
              <w:t>12 juillet 2026</w:t>
            </w:r>
          </w:p>
        </w:tc>
      </w:tr>
    </w:tbl>
    <w:p/>
    <w:p>
      <w:pPr>
        <w:jc w:val="center"/>
      </w:pPr>
      <w:r>
        <w:rPr>
          <w:b/>
          <w:color w:val="443A78"/>
          <w:sz w:val="16"/>
        </w:rPr>
        <w:t>Confidentiel - diffusion contrôlée</w:t>
      </w:r>
    </w:p>
    <w:p>
      <w:pPr>
        <w:jc w:val="center"/>
      </w:pPr>
      <w:r>
        <w:rPr>
          <w:i/>
          <w:color w:val="6D7471"/>
          <w:sz w:val="15"/>
        </w:rPr>
        <w:t>Les objectifs et hypothèses ne doivent pas être présentés comme des résultats obtenus.</w:t>
      </w:r>
    </w:p>
    <w:p>
      <w:pPr>
        <w:sectPr>
          <w:headerReference w:type="default" r:id="rId13"/>
          <w:footerReference w:type="default" r:id="rId14"/>
          <w:pgSz w:w="11906" w:h="16838"/>
          <w:pgMar w:top="1134" w:right="1134" w:bottom="1134" w:left="1134" w:header="720" w:footer="720" w:gutter="0"/>
          <w:cols w:space="720"/>
          <w:titlePg/>
          <w:docGrid w:linePitch="360"/>
        </w:sectPr>
      </w:pPr>
    </w:p>
    <w:p>
      <w:pPr>
        <w:spacing w:before="60" w:after="40"/>
      </w:pPr>
      <w:r>
        <w:rPr>
          <w:rFonts w:ascii="Cabin" w:hAnsi="Cabin"/>
          <w:b/>
          <w:color w:val="D4A936"/>
          <w:sz w:val="16"/>
        </w:rPr>
        <w:t>DÉCISION EN SIX MINUTES</w:t>
      </w:r>
    </w:p>
    <w:p>
      <w:pPr>
        <w:pStyle w:val="Title"/>
        <w:jc w:val="left"/>
      </w:pPr>
      <w:r>
        <w:t>Résumé exécutif du pilote Dakar</w:t>
      </w:r>
    </w:p>
    <w:p>
      <w:pPr>
        <w:pStyle w:val="Subtitle"/>
        <w:jc w:val="left"/>
      </w:pPr>
      <w:r>
        <w:t>Dëggal organise des preuves consenties d’activité économique afin de réduire le coût et l’incertitude des vérifications terrain.</w:t>
      </w:r>
    </w:p>
    <w:p>
      <w:pPr>
        <w:spacing w:after="120"/>
        <w:pBdr>
          <w:bottom w:val="single" w:sz="12" w:space="1" w:color="D4A936"/>
        </w:pBdr>
      </w:pPr>
    </w:p>
    <w:tbl>
      <w:tblPr>
        <w:tblW w:type="auto" w:w="0"/>
        <w:jc w:val="center"/>
        <w:tblLayout w:type="fixed"/>
        <w:tblLook w:firstColumn="1" w:firstRow="1" w:lastColumn="0" w:lastRow="0" w:noHBand="0" w:noVBand="1" w:val="04A0"/>
      </w:tblPr>
      <w:tblGrid>
        <w:gridCol w:w="3184"/>
        <w:gridCol w:w="3184"/>
        <w:gridCol w:w="3184"/>
      </w:tblGrid>
      <w:tr>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2,5 M</w:t>
            </w:r>
          </w:p>
          <w:p>
            <w:pPr>
              <w:pStyle w:val="KPIlabel"/>
              <w:jc w:val="center"/>
            </w:pPr>
            <w:r>
              <w:t>FCFA demandés pour le pilote</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2,1615 M</w:t>
            </w:r>
          </w:p>
          <w:p>
            <w:pPr>
              <w:pStyle w:val="KPIlabel"/>
              <w:jc w:val="center"/>
            </w:pPr>
            <w:r>
              <w:t>FCFA de budget direct</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30 jours</w:t>
            </w:r>
          </w:p>
          <w:p>
            <w:pPr>
              <w:pStyle w:val="KPIlabel"/>
              <w:jc w:val="center"/>
            </w:pPr>
            <w:r>
              <w:t>durée du pilote</w:t>
            </w:r>
          </w:p>
        </w:tc>
      </w:tr>
      <w:tr>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250</w:t>
            </w:r>
          </w:p>
          <w:p>
            <w:pPr>
              <w:pStyle w:val="KPIlabel"/>
              <w:jc w:val="center"/>
            </w:pPr>
            <w:r>
              <w:t>marchands ciblés</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2F4F3"/>
          </w:tcPr>
          <w:p>
            <w:pPr>
              <w:pStyle w:val="KPIvalue"/>
              <w:jc w:val="center"/>
            </w:pPr>
            <w:r/>
            <w:r>
              <w:t>200</w:t>
            </w:r>
          </w:p>
          <w:p>
            <w:pPr>
              <w:pStyle w:val="KPIlabel"/>
              <w:jc w:val="center"/>
            </w:pPr>
            <w:r>
              <w:t>profils partageables visés</w:t>
            </w:r>
          </w:p>
        </w:tc>
        <w:tc>
          <w:tcPr>
            <w:tcW w:type="dxa" w:w="3118"/>
            <w:tcMar>
              <w:top w:w="100" w:type="dxa"/>
              <w:start w:w="120" w:type="dxa"/>
              <w:bottom w:w="100" w:type="dxa"/>
              <w:end w:w="120" w:type="dxa"/>
            </w:tcMar>
            <w:tcBorders>
              <w:top w:val="single" w:sz="5" w:color="D6DEDA"/>
              <w:left w:val="single" w:sz="5" w:color="D6DEDA"/>
              <w:bottom w:val="single" w:sz="5" w:color="D6DEDA"/>
              <w:right w:val="single" w:sz="5" w:color="D6DEDA"/>
            </w:tcBorders>
            <w:shd w:fill="FFFFFF"/>
          </w:tcPr>
          <w:p>
            <w:pPr>
              <w:pStyle w:val="KPIvalue"/>
              <w:jc w:val="center"/>
            </w:pPr>
            <w:r/>
            <w:r>
              <w:t>1</w:t>
            </w:r>
          </w:p>
          <w:p>
            <w:pPr>
              <w:pStyle w:val="KPIlabel"/>
              <w:jc w:val="center"/>
            </w:pPr>
            <w:r>
              <w:t>preuve commerciale forte</w:t>
            </w:r>
          </w:p>
        </w:tc>
      </w:tr>
    </w:tbl>
    <w:p>
      <w:pPr>
        <w:spacing w:after="20"/>
      </w:pP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D4A936"/>
            <w:tcMar>
              <w:top w:w="110" w:type="dxa"/>
              <w:start w:w="130" w:type="dxa"/>
              <w:bottom w:w="110" w:type="dxa"/>
              <w:end w:w="130" w:type="dxa"/>
            </w:tcMar>
            <w:tcBorders>
              <w:top w:val="nil"/>
              <w:left w:val="nil"/>
              <w:bottom w:val="nil"/>
              <w:right w:val="nil"/>
            </w:tcBorders>
          </w:tcPr>
          <w:p/>
        </w:tc>
        <w:tc>
          <w:tcPr>
            <w:tcW w:type="dxa" w:w="9072"/>
            <w:shd w:fill="FBF4DA"/>
            <w:tcMar>
              <w:top w:w="110" w:type="dxa"/>
              <w:start w:w="130" w:type="dxa"/>
              <w:bottom w:w="110" w:type="dxa"/>
              <w:end w:w="130" w:type="dxa"/>
            </w:tcMar>
            <w:tcBorders>
              <w:top w:val="nil"/>
              <w:left w:val="nil"/>
              <w:bottom w:val="nil"/>
              <w:right w:val="nil"/>
            </w:tcBorders>
          </w:tcPr>
          <w:p>
            <w:pPr>
              <w:pStyle w:val="Callouttitle"/>
            </w:pPr>
            <w:r>
              <w:t>Décision recherchée</w:t>
            </w:r>
          </w:p>
          <w:p>
            <w:pPr>
              <w:pStyle w:val="Callouttext"/>
            </w:pPr>
            <w:r>
              <w:t>Autoriser une tranche pilote de 2 500 000 FCFA, conditionnée à la validation juridique des traitements de données, à la nomination des responsables et à un reporting hebdomadaire.</w:t>
            </w:r>
          </w:p>
        </w:tc>
      </w:tr>
    </w:tbl>
    <w:p>
      <w:pPr>
        <w:spacing w:after="20" w:before="0"/>
      </w:pPr>
    </w:p>
    <w:p>
      <w:pPr>
        <w:pStyle w:val="Heading1"/>
        <w:keepNext/>
        <w:pageBreakBefore w:val="0"/>
      </w:pPr>
      <w:r>
        <w:t>Table des matières</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8334"/>
            <w:shd w:fill="143B31"/>
            <w:tcMar>
              <w:top w:w="80" w:type="dxa"/>
              <w:start w:w="100" w:type="dxa"/>
              <w:bottom w:w="80" w:type="dxa"/>
              <w:end w:w="100" w:type="dxa"/>
            </w:tcMar>
          </w:tcPr>
          <w:p>
            <w:pPr>
              <w:pStyle w:val="Tabletext"/>
            </w:pPr>
            <w:r>
              <w:rPr>
                <w:b/>
                <w:color w:val="FFFFFF"/>
              </w:rPr>
              <w:t>Section</w:t>
            </w:r>
          </w:p>
        </w:tc>
        <w:tc>
          <w:tcPr>
            <w:tcW w:type="dxa" w:w="1020"/>
            <w:shd w:fill="143B31"/>
            <w:tcMar>
              <w:top w:w="80" w:type="dxa"/>
              <w:start w:w="100" w:type="dxa"/>
              <w:bottom w:w="80" w:type="dxa"/>
              <w:end w:w="100" w:type="dxa"/>
            </w:tcMar>
          </w:tcPr>
          <w:p>
            <w:pPr>
              <w:pStyle w:val="Tabletext"/>
            </w:pPr>
            <w:r>
              <w:rPr>
                <w:b/>
                <w:color w:val="FFFFFF"/>
              </w:rPr>
              <w:t>Page</w:t>
            </w:r>
          </w:p>
        </w:tc>
      </w:tr>
      <w:tr>
        <w:tc>
          <w:tcPr>
            <w:tcW w:type="dxa" w:w="4776"/>
            <w:shd w:fill="FFFFFF"/>
            <w:tcMar>
              <w:top w:w="70" w:type="dxa"/>
              <w:start w:w="90" w:type="dxa"/>
              <w:bottom w:w="70" w:type="dxa"/>
              <w:end w:w="90" w:type="dxa"/>
            </w:tcMar>
            <w:tcBorders>
              <w:bottom w:val="single" w:sz="2" w:color="E5E9E7"/>
            </w:tcBorders>
          </w:tcPr>
          <w:p>
            <w:pPr>
              <w:pStyle w:val="Tabletext"/>
            </w:pPr>
            <w:r>
              <w:t>1. Proposition</w:t>
            </w:r>
          </w:p>
        </w:tc>
        <w:tc>
          <w:tcPr>
            <w:tcW w:type="dxa" w:w="4776"/>
            <w:shd w:fill="FFFFFF"/>
            <w:tcMar>
              <w:top w:w="70" w:type="dxa"/>
              <w:start w:w="90" w:type="dxa"/>
              <w:bottom w:w="70" w:type="dxa"/>
              <w:end w:w="90" w:type="dxa"/>
            </w:tcMar>
            <w:tcBorders>
              <w:bottom w:val="single" w:sz="2" w:color="E5E9E7"/>
            </w:tcBorders>
          </w:tcPr>
          <w:p>
            <w:pPr>
              <w:pStyle w:val="Tabletext"/>
              <w:jc w:val="right"/>
            </w:pPr>
            <w:r>
              <w:t>1</w:t>
            </w:r>
          </w:p>
        </w:tc>
      </w:tr>
      <w:tr>
        <w:tc>
          <w:tcPr>
            <w:tcW w:type="dxa" w:w="4776"/>
            <w:shd w:fill="F2F4F3"/>
            <w:tcMar>
              <w:top w:w="70" w:type="dxa"/>
              <w:start w:w="90" w:type="dxa"/>
              <w:bottom w:w="70" w:type="dxa"/>
              <w:end w:w="90" w:type="dxa"/>
            </w:tcMar>
            <w:tcBorders>
              <w:bottom w:val="single" w:sz="2" w:color="E5E9E7"/>
            </w:tcBorders>
          </w:tcPr>
          <w:p>
            <w:pPr>
              <w:pStyle w:val="Tabletext"/>
            </w:pPr>
            <w:r>
              <w:t>2. Problème et clients</w:t>
            </w:r>
          </w:p>
        </w:tc>
        <w:tc>
          <w:tcPr>
            <w:tcW w:type="dxa" w:w="4776"/>
            <w:shd w:fill="F2F4F3"/>
            <w:tcMar>
              <w:top w:w="70" w:type="dxa"/>
              <w:start w:w="90" w:type="dxa"/>
              <w:bottom w:w="70" w:type="dxa"/>
              <w:end w:w="90" w:type="dxa"/>
            </w:tcMar>
            <w:tcBorders>
              <w:bottom w:val="single" w:sz="2" w:color="E5E9E7"/>
            </w:tcBorders>
          </w:tcPr>
          <w:p>
            <w:pPr>
              <w:pStyle w:val="Tabletext"/>
              <w:jc w:val="right"/>
            </w:pPr>
            <w:r>
              <w:t>2</w:t>
            </w:r>
          </w:p>
        </w:tc>
      </w:tr>
      <w:tr>
        <w:tc>
          <w:tcPr>
            <w:tcW w:type="dxa" w:w="4776"/>
            <w:shd w:fill="FFFFFF"/>
            <w:tcMar>
              <w:top w:w="70" w:type="dxa"/>
              <w:start w:w="90" w:type="dxa"/>
              <w:bottom w:w="70" w:type="dxa"/>
              <w:end w:w="90" w:type="dxa"/>
            </w:tcMar>
            <w:tcBorders>
              <w:bottom w:val="single" w:sz="2" w:color="E5E9E7"/>
            </w:tcBorders>
          </w:tcPr>
          <w:p>
            <w:pPr>
              <w:pStyle w:val="Tabletext"/>
            </w:pPr>
            <w:r>
              <w:t>3. Produit pilote</w:t>
            </w:r>
          </w:p>
        </w:tc>
        <w:tc>
          <w:tcPr>
            <w:tcW w:type="dxa" w:w="4776"/>
            <w:shd w:fill="FFFFFF"/>
            <w:tcMar>
              <w:top w:w="70" w:type="dxa"/>
              <w:start w:w="90" w:type="dxa"/>
              <w:bottom w:w="70" w:type="dxa"/>
              <w:end w:w="90" w:type="dxa"/>
            </w:tcMar>
            <w:tcBorders>
              <w:bottom w:val="single" w:sz="2" w:color="E5E9E7"/>
            </w:tcBorders>
          </w:tcPr>
          <w:p>
            <w:pPr>
              <w:pStyle w:val="Tabletext"/>
              <w:jc w:val="right"/>
            </w:pPr>
            <w:r>
              <w:t>2</w:t>
            </w:r>
          </w:p>
        </w:tc>
      </w:tr>
      <w:tr>
        <w:tc>
          <w:tcPr>
            <w:tcW w:type="dxa" w:w="4776"/>
            <w:shd w:fill="F2F4F3"/>
            <w:tcMar>
              <w:top w:w="70" w:type="dxa"/>
              <w:start w:w="90" w:type="dxa"/>
              <w:bottom w:w="70" w:type="dxa"/>
              <w:end w:w="90" w:type="dxa"/>
            </w:tcMar>
            <w:tcBorders>
              <w:bottom w:val="single" w:sz="2" w:color="E5E9E7"/>
            </w:tcBorders>
          </w:tcPr>
          <w:p>
            <w:pPr>
              <w:pStyle w:val="Tabletext"/>
            </w:pPr>
            <w:r>
              <w:t>4. Pilote de 30 jours</w:t>
            </w:r>
          </w:p>
        </w:tc>
        <w:tc>
          <w:tcPr>
            <w:tcW w:type="dxa" w:w="4776"/>
            <w:shd w:fill="F2F4F3"/>
            <w:tcMar>
              <w:top w:w="70" w:type="dxa"/>
              <w:start w:w="90" w:type="dxa"/>
              <w:bottom w:w="70" w:type="dxa"/>
              <w:end w:w="90" w:type="dxa"/>
            </w:tcMar>
            <w:tcBorders>
              <w:bottom w:val="single" w:sz="2" w:color="E5E9E7"/>
            </w:tcBorders>
          </w:tcPr>
          <w:p>
            <w:pPr>
              <w:pStyle w:val="Tabletext"/>
              <w:jc w:val="right"/>
            </w:pPr>
            <w:r>
              <w:t>2</w:t>
            </w:r>
          </w:p>
        </w:tc>
      </w:tr>
      <w:tr>
        <w:tc>
          <w:tcPr>
            <w:tcW w:type="dxa" w:w="4776"/>
            <w:shd w:fill="FFFFFF"/>
            <w:tcMar>
              <w:top w:w="70" w:type="dxa"/>
              <w:start w:w="90" w:type="dxa"/>
              <w:bottom w:w="70" w:type="dxa"/>
              <w:end w:w="90" w:type="dxa"/>
            </w:tcMar>
            <w:tcBorders>
              <w:bottom w:val="single" w:sz="2" w:color="E5E9E7"/>
            </w:tcBorders>
          </w:tcPr>
          <w:p>
            <w:pPr>
              <w:pStyle w:val="Tabletext"/>
            </w:pPr>
            <w:r>
              <w:t>5. Modèle économique</w:t>
            </w:r>
          </w:p>
        </w:tc>
        <w:tc>
          <w:tcPr>
            <w:tcW w:type="dxa" w:w="4776"/>
            <w:shd w:fill="FFFFFF"/>
            <w:tcMar>
              <w:top w:w="70" w:type="dxa"/>
              <w:start w:w="90" w:type="dxa"/>
              <w:bottom w:w="70" w:type="dxa"/>
              <w:end w:w="90" w:type="dxa"/>
            </w:tcMar>
            <w:tcBorders>
              <w:bottom w:val="single" w:sz="2" w:color="E5E9E7"/>
            </w:tcBorders>
          </w:tcPr>
          <w:p>
            <w:pPr>
              <w:pStyle w:val="Tabletext"/>
              <w:jc w:val="right"/>
            </w:pPr>
            <w:r>
              <w:t>3</w:t>
            </w:r>
          </w:p>
        </w:tc>
      </w:tr>
      <w:tr>
        <w:tc>
          <w:tcPr>
            <w:tcW w:type="dxa" w:w="4776"/>
            <w:shd w:fill="F2F4F3"/>
            <w:tcMar>
              <w:top w:w="70" w:type="dxa"/>
              <w:start w:w="90" w:type="dxa"/>
              <w:bottom w:w="70" w:type="dxa"/>
              <w:end w:w="90" w:type="dxa"/>
            </w:tcMar>
            <w:tcBorders>
              <w:bottom w:val="single" w:sz="2" w:color="E5E9E7"/>
            </w:tcBorders>
          </w:tcPr>
          <w:p>
            <w:pPr>
              <w:pStyle w:val="Tabletext"/>
            </w:pPr>
            <w:r>
              <w:t>6. Budget et financement</w:t>
            </w:r>
          </w:p>
        </w:tc>
        <w:tc>
          <w:tcPr>
            <w:tcW w:type="dxa" w:w="4776"/>
            <w:shd w:fill="F2F4F3"/>
            <w:tcMar>
              <w:top w:w="70" w:type="dxa"/>
              <w:start w:w="90" w:type="dxa"/>
              <w:bottom w:w="70" w:type="dxa"/>
              <w:end w:w="90" w:type="dxa"/>
            </w:tcMar>
            <w:tcBorders>
              <w:bottom w:val="single" w:sz="2" w:color="E5E9E7"/>
            </w:tcBorders>
          </w:tcPr>
          <w:p>
            <w:pPr>
              <w:pStyle w:val="Tabletext"/>
              <w:jc w:val="right"/>
            </w:pPr>
            <w:r>
              <w:t>3</w:t>
            </w:r>
          </w:p>
        </w:tc>
      </w:tr>
      <w:tr>
        <w:tc>
          <w:tcPr>
            <w:tcW w:type="dxa" w:w="4776"/>
            <w:shd w:fill="FFFFFF"/>
            <w:tcMar>
              <w:top w:w="70" w:type="dxa"/>
              <w:start w:w="90" w:type="dxa"/>
              <w:bottom w:w="70" w:type="dxa"/>
              <w:end w:w="90" w:type="dxa"/>
            </w:tcMar>
            <w:tcBorders>
              <w:bottom w:val="single" w:sz="2" w:color="E5E9E7"/>
            </w:tcBorders>
          </w:tcPr>
          <w:p>
            <w:pPr>
              <w:pStyle w:val="Tabletext"/>
            </w:pPr>
            <w:r>
              <w:t>7. Lecture financière à 36 mois</w:t>
            </w:r>
          </w:p>
        </w:tc>
        <w:tc>
          <w:tcPr>
            <w:tcW w:type="dxa" w:w="4776"/>
            <w:shd w:fill="FFFFFF"/>
            <w:tcMar>
              <w:top w:w="70" w:type="dxa"/>
              <w:start w:w="90" w:type="dxa"/>
              <w:bottom w:w="70" w:type="dxa"/>
              <w:end w:w="90" w:type="dxa"/>
            </w:tcMar>
            <w:tcBorders>
              <w:bottom w:val="single" w:sz="2" w:color="E5E9E7"/>
            </w:tcBorders>
          </w:tcPr>
          <w:p>
            <w:pPr>
              <w:pStyle w:val="Tabletext"/>
              <w:jc w:val="right"/>
            </w:pPr>
            <w:r>
              <w:t>4</w:t>
            </w:r>
          </w:p>
        </w:tc>
      </w:tr>
      <w:tr>
        <w:tc>
          <w:tcPr>
            <w:tcW w:type="dxa" w:w="4776"/>
            <w:shd w:fill="F2F4F3"/>
            <w:tcMar>
              <w:top w:w="70" w:type="dxa"/>
              <w:start w:w="90" w:type="dxa"/>
              <w:bottom w:w="70" w:type="dxa"/>
              <w:end w:w="90" w:type="dxa"/>
            </w:tcMar>
            <w:tcBorders>
              <w:bottom w:val="single" w:sz="2" w:color="E5E9E7"/>
            </w:tcBorders>
          </w:tcPr>
          <w:p>
            <w:pPr>
              <w:pStyle w:val="Tabletext"/>
            </w:pPr>
            <w:r>
              <w:t>8. Gouvernance, données et éthique</w:t>
            </w:r>
          </w:p>
        </w:tc>
        <w:tc>
          <w:tcPr>
            <w:tcW w:type="dxa" w:w="4776"/>
            <w:shd w:fill="F2F4F3"/>
            <w:tcMar>
              <w:top w:w="70" w:type="dxa"/>
              <w:start w:w="90" w:type="dxa"/>
              <w:bottom w:w="70" w:type="dxa"/>
              <w:end w:w="90" w:type="dxa"/>
            </w:tcMar>
            <w:tcBorders>
              <w:bottom w:val="single" w:sz="2" w:color="E5E9E7"/>
            </w:tcBorders>
          </w:tcPr>
          <w:p>
            <w:pPr>
              <w:pStyle w:val="Tabletext"/>
              <w:jc w:val="right"/>
            </w:pPr>
            <w:r>
              <w:t>4</w:t>
            </w:r>
          </w:p>
        </w:tc>
      </w:tr>
      <w:tr>
        <w:tc>
          <w:tcPr>
            <w:tcW w:type="dxa" w:w="4776"/>
            <w:shd w:fill="FFFFFF"/>
            <w:tcMar>
              <w:top w:w="70" w:type="dxa"/>
              <w:start w:w="90" w:type="dxa"/>
              <w:bottom w:w="70" w:type="dxa"/>
              <w:end w:w="90" w:type="dxa"/>
            </w:tcMar>
            <w:tcBorders>
              <w:bottom w:val="single" w:sz="2" w:color="E5E9E7"/>
            </w:tcBorders>
          </w:tcPr>
          <w:p>
            <w:pPr>
              <w:pStyle w:val="Tabletext"/>
            </w:pPr>
            <w:r>
              <w:t>9. Risques majeurs</w:t>
            </w:r>
          </w:p>
        </w:tc>
        <w:tc>
          <w:tcPr>
            <w:tcW w:type="dxa" w:w="4776"/>
            <w:shd w:fill="FFFFFF"/>
            <w:tcMar>
              <w:top w:w="70" w:type="dxa"/>
              <w:start w:w="90" w:type="dxa"/>
              <w:bottom w:w="70" w:type="dxa"/>
              <w:end w:w="90" w:type="dxa"/>
            </w:tcMar>
            <w:tcBorders>
              <w:bottom w:val="single" w:sz="2" w:color="E5E9E7"/>
            </w:tcBorders>
          </w:tcPr>
          <w:p>
            <w:pPr>
              <w:pStyle w:val="Tabletext"/>
              <w:jc w:val="right"/>
            </w:pPr>
            <w:r>
              <w:t>4</w:t>
            </w:r>
          </w:p>
        </w:tc>
      </w:tr>
      <w:tr>
        <w:tc>
          <w:tcPr>
            <w:tcW w:type="dxa" w:w="4776"/>
            <w:shd w:fill="F2F4F3"/>
            <w:tcMar>
              <w:top w:w="70" w:type="dxa"/>
              <w:start w:w="90" w:type="dxa"/>
              <w:bottom w:w="70" w:type="dxa"/>
              <w:end w:w="90" w:type="dxa"/>
            </w:tcMar>
            <w:tcBorders>
              <w:bottom w:val="single" w:sz="2" w:color="E5E9E7"/>
            </w:tcBorders>
          </w:tcPr>
          <w:p>
            <w:pPr>
              <w:pStyle w:val="Tabletext"/>
            </w:pPr>
            <w:r>
              <w:t>10. Critères d’approbation</w:t>
            </w:r>
          </w:p>
        </w:tc>
        <w:tc>
          <w:tcPr>
            <w:tcW w:type="dxa" w:w="4776"/>
            <w:shd w:fill="F2F4F3"/>
            <w:tcMar>
              <w:top w:w="70" w:type="dxa"/>
              <w:start w:w="90" w:type="dxa"/>
              <w:bottom w:w="70" w:type="dxa"/>
              <w:end w:w="90" w:type="dxa"/>
            </w:tcMar>
            <w:tcBorders>
              <w:bottom w:val="single" w:sz="2" w:color="E5E9E7"/>
            </w:tcBorders>
          </w:tcPr>
          <w:p>
            <w:pPr>
              <w:pStyle w:val="Tabletext"/>
              <w:jc w:val="right"/>
            </w:pPr>
            <w:r>
              <w:t>5</w:t>
            </w:r>
          </w:p>
        </w:tc>
      </w:tr>
      <w:tr>
        <w:tc>
          <w:tcPr>
            <w:tcW w:type="dxa" w:w="4776"/>
            <w:shd w:fill="FFFFFF"/>
            <w:tcMar>
              <w:top w:w="70" w:type="dxa"/>
              <w:start w:w="90" w:type="dxa"/>
              <w:bottom w:w="70" w:type="dxa"/>
              <w:end w:w="90" w:type="dxa"/>
            </w:tcMar>
            <w:tcBorders>
              <w:bottom w:val="single" w:sz="2" w:color="E5E9E7"/>
            </w:tcBorders>
          </w:tcPr>
          <w:p>
            <w:pPr>
              <w:pStyle w:val="Tabletext"/>
            </w:pPr>
            <w:r>
              <w:t>11. Décision recommandée</w:t>
            </w:r>
          </w:p>
        </w:tc>
        <w:tc>
          <w:tcPr>
            <w:tcW w:type="dxa" w:w="4776"/>
            <w:shd w:fill="FFFFFF"/>
            <w:tcMar>
              <w:top w:w="70" w:type="dxa"/>
              <w:start w:w="90" w:type="dxa"/>
              <w:bottom w:w="70" w:type="dxa"/>
              <w:end w:w="90" w:type="dxa"/>
            </w:tcMar>
            <w:tcBorders>
              <w:bottom w:val="single" w:sz="2" w:color="E5E9E7"/>
            </w:tcBorders>
          </w:tcPr>
          <w:p>
            <w:pPr>
              <w:pStyle w:val="Tabletext"/>
              <w:jc w:val="right"/>
            </w:pPr>
            <w:r>
              <w:t>5</w:t>
            </w:r>
          </w:p>
        </w:tc>
      </w:tr>
      <w:tr>
        <w:tc>
          <w:tcPr>
            <w:tcW w:type="dxa" w:w="4776"/>
            <w:shd w:fill="F2F4F3"/>
            <w:tcMar>
              <w:top w:w="70" w:type="dxa"/>
              <w:start w:w="90" w:type="dxa"/>
              <w:bottom w:w="70" w:type="dxa"/>
              <w:end w:w="90" w:type="dxa"/>
            </w:tcMar>
            <w:tcBorders>
              <w:bottom w:val="single" w:sz="2" w:color="E5E9E7"/>
            </w:tcBorders>
          </w:tcPr>
          <w:p>
            <w:pPr>
              <w:pStyle w:val="Tabletext"/>
            </w:pPr>
            <w:r>
              <w:t>12. Sources</w:t>
            </w:r>
          </w:p>
        </w:tc>
        <w:tc>
          <w:tcPr>
            <w:tcW w:type="dxa" w:w="4776"/>
            <w:shd w:fill="F2F4F3"/>
            <w:tcMar>
              <w:top w:w="70" w:type="dxa"/>
              <w:start w:w="90" w:type="dxa"/>
              <w:bottom w:w="70" w:type="dxa"/>
              <w:end w:w="90" w:type="dxa"/>
            </w:tcMar>
            <w:tcBorders>
              <w:bottom w:val="single" w:sz="2" w:color="E5E9E7"/>
            </w:tcBorders>
          </w:tcPr>
          <w:p>
            <w:pPr>
              <w:pStyle w:val="Tabletext"/>
              <w:jc w:val="right"/>
            </w:pPr>
            <w:r>
              <w:t>5</w:t>
            </w:r>
          </w:p>
        </w:tc>
      </w:tr>
    </w:tbl>
    <w:p>
      <w:pPr>
        <w:pStyle w:val="Heading1"/>
        <w:keepNext/>
        <w:pageBreakBefore w:val="0"/>
      </w:pPr>
      <w:r>
        <w:t>1. Proposition</w:t>
      </w:r>
    </w:p>
    <w:p>
      <w:r>
        <w:t>Dëggal est une infrastructure de preuve pour les activités économiques informelles. Le service aide un petit commerçant à transformer des éléments déjà présents dans son quotidien - récit oral, photos du point de vente, reçus, références fournisseurs, observation terrain et localisation - en un passeport d’activité structuré, daté et partageable avec son accord.</w:t>
      </w:r>
    </w:p>
    <w:p>
      <w:r>
        <w:t>Le premier produit n’est ni une banque, ni un système de notation de crédit, ni une marketplace. Il s’agit d’un service de vérification assistée qui permet à un partenaire autorisé de recevoir une vue filtrée plutôt que de recommencer lui-même une enquête terrain complète.</w:t>
      </w:r>
    </w:p>
    <w:p>
      <w:pPr>
        <w:pStyle w:val="Heading1"/>
        <w:keepNext/>
        <w:pageBreakBefore w:val="0"/>
      </w:pPr>
      <w:r>
        <w:t>2. Problème et clients</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81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Utilisateur</w:t>
            </w:r>
          </w:p>
        </w:tc>
        <w:tc>
          <w:tcPr>
            <w:tcW w:type="dxa" w:w="351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Problème actuel</w:t>
            </w:r>
          </w:p>
        </w:tc>
        <w:tc>
          <w:tcPr>
            <w:tcW w:type="dxa" w:w="402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Valeur testée par Dëggal</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Petit commerçant</w:t>
            </w:r>
          </w:p>
        </w:tc>
        <w:tc>
          <w:tcPr>
            <w:tcW w:type="dxa" w:w="351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Preuves dispersées, récit répété, dossier difficile à présenter.</w:t>
            </w:r>
          </w:p>
        </w:tc>
        <w:tc>
          <w:tcPr>
            <w:tcW w:type="dxa" w:w="402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Dossier simple, actualisable et contrôlé par le commerçant.</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Fournisseur ou grossiste</w:t>
            </w:r>
          </w:p>
        </w:tc>
        <w:tc>
          <w:tcPr>
            <w:tcW w:type="dxa" w:w="351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Temps élevé pour identifier des revendeurs actifs et fiables.</w:t>
            </w:r>
          </w:p>
        </w:tc>
        <w:tc>
          <w:tcPr>
            <w:tcW w:type="dxa" w:w="402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Shortlist vérifiée par zone, catégorie et niveau de preuve.</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Programme, ONG ou association</w:t>
            </w:r>
          </w:p>
        </w:tc>
        <w:tc>
          <w:tcPr>
            <w:tcW w:type="dxa" w:w="351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Faux dossiers, registres obsolètes, contrôle terrain coûteux.</w:t>
            </w:r>
          </w:p>
        </w:tc>
        <w:tc>
          <w:tcPr>
            <w:tcW w:type="dxa" w:w="402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Profils consentis, auditables et mis à jour.</w:t>
            </w:r>
          </w:p>
        </w:tc>
      </w:tr>
      <w:tr>
        <w:trPr>
          <w:cantSplit/>
        </w:trPr>
        <w:tc>
          <w:tcPr>
            <w:tcW w:type="dxa" w:w="181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Institution financière ou de garantie</w:t>
            </w:r>
          </w:p>
        </w:tc>
        <w:tc>
          <w:tcPr>
            <w:tcW w:type="dxa" w:w="351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Pré-dossiers incomplets et onboarding peu adapté.</w:t>
            </w:r>
          </w:p>
        </w:tc>
        <w:tc>
          <w:tcPr>
            <w:tcW w:type="dxa" w:w="402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Couche de preuve proportionnée - sans décision de crédit.</w:t>
            </w:r>
          </w:p>
        </w:tc>
      </w:tr>
      <w:tr>
        <w:trPr>
          <w:cantSplit/>
        </w:trPr>
        <w:tc>
          <w:tcPr>
            <w:tcW w:type="dxa" w:w="181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Acheteur ou équipementier</w:t>
            </w:r>
          </w:p>
        </w:tc>
        <w:tc>
          <w:tcPr>
            <w:tcW w:type="dxa" w:w="351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Difficulté à vérifier l’existence et la capacité d’une activité.</w:t>
            </w:r>
          </w:p>
        </w:tc>
        <w:tc>
          <w:tcPr>
            <w:tcW w:type="dxa" w:w="402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Observation, références et preuves sélectionnées.</w:t>
            </w:r>
          </w:p>
        </w:tc>
      </w:tr>
    </w:tbl>
    <w:p>
      <w:pPr>
        <w:spacing w:after="40"/>
      </w:pPr>
    </w:p>
    <w:p>
      <w:pPr>
        <w:pStyle w:val="Heading1"/>
        <w:keepNext/>
        <w:pageBreakBefore w:val="0"/>
      </w:pPr>
      <w:r>
        <w:t>3. Produit pilote</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30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Étape</w:t>
            </w:r>
          </w:p>
        </w:tc>
        <w:tc>
          <w:tcPr>
            <w:tcW w:type="dxa" w:w="4762"/>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Action</w:t>
            </w:r>
          </w:p>
        </w:tc>
        <w:tc>
          <w:tcPr>
            <w:tcW w:type="dxa" w:w="3288"/>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Contrôle</w:t>
            </w:r>
          </w:p>
        </w:tc>
      </w:tr>
      <w:tr>
        <w:trPr>
          <w:cantSplit/>
        </w:trPr>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1. Présenter</w:t>
            </w:r>
          </w:p>
        </w:tc>
        <w:tc>
          <w:tcPr>
            <w:tcW w:type="dxa" w:w="476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Expliquer le service dans la langue la plus confortable et rappeler l’absence de garantie.</w:t>
            </w:r>
          </w:p>
        </w:tc>
        <w:tc>
          <w:tcPr>
            <w:tcW w:type="dxa" w:w="328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Refus possible sans conséquence.</w:t>
            </w:r>
          </w:p>
        </w:tc>
      </w:tr>
      <w:tr>
        <w:trPr>
          <w:cantSplit/>
        </w:trPr>
        <w:tc>
          <w:tcPr>
            <w:tcW w:type="dxa" w:w="130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2. Consentir</w:t>
            </w:r>
          </w:p>
        </w:tc>
        <w:tc>
          <w:tcPr>
            <w:tcW w:type="dxa" w:w="476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Choisir les preuves collectées et l’usage prévu.</w:t>
            </w:r>
          </w:p>
        </w:tc>
        <w:tc>
          <w:tcPr>
            <w:tcW w:type="dxa" w:w="328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Consentement distinct pour collecte et partage.</w:t>
            </w:r>
          </w:p>
        </w:tc>
      </w:tr>
      <w:tr>
        <w:trPr>
          <w:cantSplit/>
        </w:trPr>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3. Observer</w:t>
            </w:r>
          </w:p>
        </w:tc>
        <w:tc>
          <w:tcPr>
            <w:tcW w:type="dxa" w:w="476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Décrire l’activité, le lieu, le stock et les éléments visibles.</w:t>
            </w:r>
          </w:p>
        </w:tc>
        <w:tc>
          <w:tcPr>
            <w:tcW w:type="dxa" w:w="328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Faits séparés des déclarations.</w:t>
            </w:r>
          </w:p>
        </w:tc>
      </w:tr>
      <w:tr>
        <w:trPr>
          <w:cantSplit/>
        </w:trPr>
        <w:tc>
          <w:tcPr>
            <w:tcW w:type="dxa" w:w="130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4. Collecter</w:t>
            </w:r>
          </w:p>
        </w:tc>
        <w:tc>
          <w:tcPr>
            <w:tcW w:type="dxa" w:w="476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Photo, audio court, reçu ou référence strictement nécessaire.</w:t>
            </w:r>
          </w:p>
        </w:tc>
        <w:tc>
          <w:tcPr>
            <w:tcW w:type="dxa" w:w="328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Aucune donnée interdite.</w:t>
            </w:r>
          </w:p>
        </w:tc>
      </w:tr>
      <w:tr>
        <w:trPr>
          <w:cantSplit/>
        </w:trPr>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5. Contrôler</w:t>
            </w:r>
          </w:p>
        </w:tc>
        <w:tc>
          <w:tcPr>
            <w:tcW w:type="dxa" w:w="476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Back-office : complétude, doublons, cohérence et niveau de preuve.</w:t>
            </w:r>
          </w:p>
        </w:tc>
        <w:tc>
          <w:tcPr>
            <w:tcW w:type="dxa" w:w="328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QA sous 24 heures.</w:t>
            </w:r>
          </w:p>
        </w:tc>
      </w:tr>
      <w:tr>
        <w:trPr>
          <w:cantSplit/>
        </w:trPr>
        <w:tc>
          <w:tcPr>
            <w:tcW w:type="dxa" w:w="130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6. Produire</w:t>
            </w:r>
          </w:p>
        </w:tc>
        <w:tc>
          <w:tcPr>
            <w:tcW w:type="dxa" w:w="4762"/>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Créer un passeport léger et un identifiant Dëggal.</w:t>
            </w:r>
          </w:p>
        </w:tc>
        <w:tc>
          <w:tcPr>
            <w:tcW w:type="dxa" w:w="3288"/>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Date de vérification et limites visibles.</w:t>
            </w:r>
          </w:p>
        </w:tc>
      </w:tr>
      <w:tr>
        <w:trPr>
          <w:cantSplit/>
        </w:trPr>
        <w:tc>
          <w:tcPr>
            <w:tcW w:type="dxa" w:w="130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7. Partager</w:t>
            </w:r>
          </w:p>
        </w:tc>
        <w:tc>
          <w:tcPr>
            <w:tcW w:type="dxa" w:w="4762"/>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Vue filtrée, lecture seule, destinataire nommé et expiration.</w:t>
            </w:r>
          </w:p>
        </w:tc>
        <w:tc>
          <w:tcPr>
            <w:tcW w:type="dxa" w:w="3288"/>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Journal d’accès et révocation.</w:t>
            </w:r>
          </w:p>
        </w:tc>
      </w:tr>
    </w:tbl>
    <w:p>
      <w:pPr>
        <w:spacing w:after="40"/>
      </w:pPr>
    </w:p>
    <w:p>
      <w:pPr>
        <w:pStyle w:val="Heading1"/>
        <w:keepNext/>
        <w:pageBreakBefore w:val="0"/>
      </w:pPr>
      <w:r>
        <w:t>4. Pilote de 30 jours</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1530"/>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Période</w:t>
            </w:r>
          </w:p>
        </w:tc>
        <w:tc>
          <w:tcPr>
            <w:tcW w:type="dxa" w:w="4139"/>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Cible opérationnelle</w:t>
            </w:r>
          </w:p>
        </w:tc>
        <w:tc>
          <w:tcPr>
            <w:tcW w:type="dxa" w:w="368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Sortie de décision</w:t>
            </w:r>
          </w:p>
        </w:tc>
      </w:tr>
      <w:tr>
        <w:trPr>
          <w:cantSplit/>
        </w:trPr>
        <w:tc>
          <w:tcPr>
            <w:tcW w:type="dxa" w:w="153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Jours 1-7</w:t>
            </w:r>
          </w:p>
        </w:tc>
        <w:tc>
          <w:tcPr>
            <w:tcW w:type="dxa" w:w="413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30 à 40 marchands; 5 à 7 entretiens partenaires.</w:t>
            </w:r>
          </w:p>
        </w:tc>
        <w:tc>
          <w:tcPr>
            <w:tcW w:type="dxa" w:w="368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Processus calibré ou corrigé; rapport jour 7.</w:t>
            </w:r>
          </w:p>
        </w:tc>
      </w:tr>
      <w:tr>
        <w:trPr>
          <w:cantSplit/>
        </w:trPr>
        <w:tc>
          <w:tcPr>
            <w:tcW w:type="dxa" w:w="153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Jours 8-14</w:t>
            </w:r>
          </w:p>
        </w:tc>
        <w:tc>
          <w:tcPr>
            <w:tcW w:type="dxa" w:w="413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90 à 110 marchands cumulés; premiers profils partageables.</w:t>
            </w:r>
          </w:p>
        </w:tc>
        <w:tc>
          <w:tcPr>
            <w:tcW w:type="dxa" w:w="368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Taux de qualité, reprises et premiers besoins partenaires.</w:t>
            </w:r>
          </w:p>
        </w:tc>
      </w:tr>
      <w:tr>
        <w:trPr>
          <w:cantSplit/>
        </w:trPr>
        <w:tc>
          <w:tcPr>
            <w:tcW w:type="dxa" w:w="153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Jours 15-21</w:t>
            </w:r>
          </w:p>
        </w:tc>
        <w:tc>
          <w:tcPr>
            <w:tcW w:type="dxa" w:w="413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160 à 190 marchands cumulés; 2 à 3 partenaires chauds.</w:t>
            </w:r>
          </w:p>
        </w:tc>
        <w:tc>
          <w:tcPr>
            <w:tcW w:type="dxa" w:w="368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Premier export filtré et proposition pilote.</w:t>
            </w:r>
          </w:p>
        </w:tc>
      </w:tr>
      <w:tr>
        <w:trPr>
          <w:cantSplit/>
        </w:trPr>
        <w:tc>
          <w:tcPr>
            <w:tcW w:type="dxa" w:w="153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Jours 22-28</w:t>
            </w:r>
          </w:p>
        </w:tc>
        <w:tc>
          <w:tcPr>
            <w:tcW w:type="dxa" w:w="4139"/>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220 à 260 marchands cumulés; pipeline fermé.</w:t>
            </w:r>
          </w:p>
        </w:tc>
        <w:tc>
          <w:tcPr>
            <w:tcW w:type="dxa" w:w="368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Paiement, bon, contrat ou LOI forte recherché.</w:t>
            </w:r>
          </w:p>
        </w:tc>
      </w:tr>
      <w:tr>
        <w:trPr>
          <w:cantSplit/>
        </w:trPr>
        <w:tc>
          <w:tcPr>
            <w:tcW w:type="dxa" w:w="153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Jours 29-30</w:t>
            </w:r>
          </w:p>
        </w:tc>
        <w:tc>
          <w:tcPr>
            <w:tcW w:type="dxa" w:w="4139"/>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Audit, consentements, doublons, coûts et rapport final.</w:t>
            </w:r>
          </w:p>
        </w:tc>
        <w:tc>
          <w:tcPr>
            <w:tcW w:type="dxa" w:w="368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Décision : poursuivre, corriger ou arrêter.</w:t>
            </w:r>
          </w:p>
        </w:tc>
      </w:tr>
    </w:tbl>
    <w:p>
      <w:pPr>
        <w:spacing w:after="40"/>
      </w:pPr>
    </w:p>
    <w:p>
      <w:pPr>
        <w:pStyle w:val="Heading1"/>
        <w:keepNext/>
        <w:pageBreakBefore w:val="0"/>
      </w:pPr>
      <w:r>
        <w:t>5. Modèle économique</w:t>
      </w:r>
    </w:p>
    <w:p>
      <w:r>
        <w:t>Les revenus pilotes sont payés par les partenaires autorisés - jamais par la vente incontrôlée de données. Les prix sont des hypothèses à tester et doivent être confirmés par des paiements réels.</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283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Offre</w:t>
            </w:r>
          </w:p>
        </w:tc>
        <w:tc>
          <w:tcPr>
            <w:tcW w:type="dxa" w:w="198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Prix indicatif</w:t>
            </w:r>
          </w:p>
        </w:tc>
        <w:tc>
          <w:tcPr>
            <w:tcW w:type="dxa" w:w="4536"/>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Condition</w:t>
            </w:r>
          </w:p>
        </w:tc>
      </w:tr>
      <w:tr>
        <w:trPr>
          <w:cantSplit/>
        </w:trPr>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Consultation ponctuelle</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partir de 15 000 FCFA</w:t>
            </w:r>
          </w:p>
        </w:tc>
        <w:tc>
          <w:tcPr>
            <w:tcW w:type="dxa" w:w="453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Sélection limitée, consentements compatibles, durée courte.</w:t>
            </w:r>
          </w:p>
        </w:tc>
      </w:tr>
      <w:tr>
        <w:trPr>
          <w:cantSplit/>
        </w:trPr>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Accès mensuel de base</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25 000 FCFA/mois</w:t>
            </w:r>
          </w:p>
        </w:tc>
        <w:tc>
          <w:tcPr>
            <w:tcW w:type="dxa" w:w="453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1 compte, 20 dossiers et 4 informations par dossier.</w:t>
            </w:r>
          </w:p>
        </w:tc>
      </w:tr>
      <w:tr>
        <w:trPr>
          <w:cantSplit/>
        </w:trPr>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Dossier supplémentaire</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500 FCFA/dossier/mois</w:t>
            </w:r>
          </w:p>
        </w:tc>
        <w:tc>
          <w:tcPr>
            <w:tcW w:type="dxa" w:w="453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Au-delà des 20 dossiers inclus.</w:t>
            </w:r>
          </w:p>
        </w:tc>
      </w:tr>
      <w:tr>
        <w:trPr>
          <w:cantSplit/>
        </w:trPr>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Utilisateur supplémentaire</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5 000 FCFA/mois</w:t>
            </w:r>
          </w:p>
        </w:tc>
        <w:tc>
          <w:tcPr>
            <w:tcW w:type="dxa" w:w="453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Compte individuel, jamais partagé.</w:t>
            </w:r>
          </w:p>
        </w:tc>
      </w:tr>
      <w:tr>
        <w:trPr>
          <w:cantSplit/>
        </w:trPr>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Accès à un marché précis</w:t>
            </w:r>
          </w:p>
        </w:tc>
        <w:tc>
          <w:tcPr>
            <w:tcW w:type="dxa" w:w="198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À partir de 50 000 FCFA/mois</w:t>
            </w:r>
          </w:p>
        </w:tc>
        <w:tc>
          <w:tcPr>
            <w:tcW w:type="dxa" w:w="453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Périmètre géographique défini et autorisé.</w:t>
            </w:r>
          </w:p>
        </w:tc>
      </w:tr>
      <w:tr>
        <w:trPr>
          <w:cantSplit/>
        </w:trPr>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Nouvelle visite terrain</w:t>
            </w:r>
          </w:p>
        </w:tc>
        <w:tc>
          <w:tcPr>
            <w:tcW w:type="dxa" w:w="198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8 000 FCFA/commerce</w:t>
            </w:r>
          </w:p>
        </w:tc>
        <w:tc>
          <w:tcPr>
            <w:tcW w:type="dxa" w:w="453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Commande explicite et capacité opérationnelle disponible.</w:t>
            </w:r>
          </w:p>
        </w:tc>
      </w:tr>
    </w:tbl>
    <w:p>
      <w:pPr>
        <w:spacing w:after="40"/>
      </w:pP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A33A2B"/>
            <w:tcMar>
              <w:top w:w="110" w:type="dxa"/>
              <w:start w:w="130" w:type="dxa"/>
              <w:bottom w:w="110" w:type="dxa"/>
              <w:end w:w="130" w:type="dxa"/>
            </w:tcMar>
            <w:tcBorders>
              <w:top w:val="nil"/>
              <w:left w:val="nil"/>
              <w:bottom w:val="nil"/>
              <w:right w:val="nil"/>
            </w:tcBorders>
          </w:tcPr>
          <w:p/>
        </w:tc>
        <w:tc>
          <w:tcPr>
            <w:tcW w:type="dxa" w:w="9072"/>
            <w:shd w:fill="F8E8E5"/>
            <w:tcMar>
              <w:top w:w="110" w:type="dxa"/>
              <w:start w:w="130" w:type="dxa"/>
              <w:bottom w:w="110" w:type="dxa"/>
              <w:end w:w="130" w:type="dxa"/>
            </w:tcMar>
            <w:tcBorders>
              <w:top w:val="nil"/>
              <w:left w:val="nil"/>
              <w:bottom w:val="nil"/>
              <w:right w:val="nil"/>
            </w:tcBorders>
          </w:tcPr>
          <w:p>
            <w:pPr>
              <w:pStyle w:val="Callouttitle"/>
            </w:pPr>
            <w:r>
              <w:t>Point critique</w:t>
            </w:r>
          </w:p>
          <w:p>
            <w:pPr>
              <w:pStyle w:val="Callouttext"/>
            </w:pPr>
            <w:r>
              <w:t>Le prix de 8 000 FCFA par visite ne peut être considéré comme viable qu’après calcul du coût complet - agents, transport, QA, coordination, technologie, conformité et acquisition commerciale.</w:t>
            </w:r>
          </w:p>
        </w:tc>
      </w:tr>
    </w:tbl>
    <w:p>
      <w:pPr>
        <w:spacing w:after="20" w:before="0"/>
      </w:pPr>
    </w:p>
    <w:p>
      <w:pPr>
        <w:pStyle w:val="Heading1"/>
        <w:keepNext/>
        <w:pageBreakBefore w:val="0"/>
      </w:pPr>
      <w:r>
        <w:t>6. Budget et financement</w:t>
      </w:r>
    </w:p>
    <w:tbl>
      <w:tblPr>
        <w:tblW w:type="auto" w:w="0"/>
        <w:jc w:val="center"/>
        <w:tblLayout w:type="fixed"/>
        <w:tblLook w:firstColumn="1" w:firstRow="1" w:lastColumn="0" w:lastRow="0" w:noHBand="0" w:noVBand="1" w:val="04A0"/>
      </w:tblPr>
      <w:tblGrid>
        <w:gridCol w:w="4776"/>
        <w:gridCol w:w="4776"/>
      </w:tblGrid>
      <w:tr>
        <w:trPr>
          <w:tblHeader w:val="true"/>
        </w:trPr>
        <w:tc>
          <w:tcPr>
            <w:tcW w:type="dxa" w:w="6520"/>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Poste</w:t>
            </w:r>
          </w:p>
        </w:tc>
        <w:tc>
          <w:tcPr>
            <w:tcW w:type="dxa" w:w="283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Montant FCFA</w:t>
            </w:r>
          </w:p>
        </w:tc>
      </w:tr>
      <w:tr>
        <w:trPr>
          <w:cantSplit/>
        </w:trPr>
        <w:tc>
          <w:tcPr>
            <w:tcW w:type="dxa" w:w="652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3 agents terrain</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525 000</w:t>
            </w:r>
          </w:p>
        </w:tc>
      </w:tr>
      <w:tr>
        <w:trPr>
          <w:cantSplit/>
        </w:trPr>
        <w:tc>
          <w:tcPr>
            <w:tcW w:type="dxa" w:w="652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Responsable terrain et back-office</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300 000</w:t>
            </w:r>
          </w:p>
        </w:tc>
      </w:tr>
      <w:tr>
        <w:trPr>
          <w:cantSplit/>
        </w:trPr>
        <w:tc>
          <w:tcPr>
            <w:tcW w:type="dxa" w:w="652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Transport terrain et partenaires</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250 000</w:t>
            </w:r>
          </w:p>
        </w:tc>
      </w:tr>
      <w:tr>
        <w:trPr>
          <w:cantSplit/>
        </w:trPr>
        <w:tc>
          <w:tcPr>
            <w:tcW w:type="dxa" w:w="652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Téléphone et données</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80 000</w:t>
            </w:r>
          </w:p>
        </w:tc>
      </w:tr>
      <w:tr>
        <w:trPr>
          <w:cantSplit/>
        </w:trPr>
        <w:tc>
          <w:tcPr>
            <w:tcW w:type="dxa" w:w="652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Cartes QR pilotes</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75 000</w:t>
            </w:r>
          </w:p>
        </w:tc>
      </w:tr>
      <w:tr>
        <w:trPr>
          <w:cantSplit/>
        </w:trPr>
        <w:tc>
          <w:tcPr>
            <w:tcW w:type="dxa" w:w="652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Réunions et mobilisation</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200 000</w:t>
            </w:r>
          </w:p>
        </w:tc>
      </w:tr>
      <w:tr>
        <w:trPr>
          <w:cantSplit/>
        </w:trPr>
        <w:tc>
          <w:tcPr>
            <w:tcW w:type="dxa" w:w="652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Design et supports</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100 000</w:t>
            </w:r>
          </w:p>
        </w:tc>
      </w:tr>
      <w:tr>
        <w:trPr>
          <w:cantSplit/>
        </w:trPr>
        <w:tc>
          <w:tcPr>
            <w:tcW w:type="dxa" w:w="652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Outils numériques</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60 000</w:t>
            </w:r>
          </w:p>
        </w:tc>
      </w:tr>
      <w:tr>
        <w:trPr>
          <w:cantSplit/>
        </w:trPr>
        <w:tc>
          <w:tcPr>
            <w:tcW w:type="dxa" w:w="652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Juridique et vie privée</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200 000</w:t>
            </w:r>
          </w:p>
        </w:tc>
      </w:tr>
      <w:tr>
        <w:trPr>
          <w:cantSplit/>
        </w:trPr>
        <w:tc>
          <w:tcPr>
            <w:tcW w:type="dxa" w:w="652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Traitement qualité et rapport final</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175 000</w:t>
            </w:r>
          </w:p>
        </w:tc>
      </w:tr>
      <w:tr>
        <w:trPr>
          <w:cantSplit/>
        </w:trPr>
        <w:tc>
          <w:tcPr>
            <w:tcW w:type="dxa" w:w="652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Réserve 10 %</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196 500</w:t>
            </w:r>
          </w:p>
        </w:tc>
      </w:tr>
      <w:tr>
        <w:trPr>
          <w:cantSplit/>
        </w:trPr>
        <w:tc>
          <w:tcPr>
            <w:tcW w:type="dxa" w:w="6520"/>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b/>
                <w:sz w:val="16"/>
              </w:rPr>
              <w:t>Total direct</w:t>
            </w:r>
          </w:p>
        </w:tc>
        <w:tc>
          <w:tcPr>
            <w:tcW w:type="dxa" w:w="283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b/>
                <w:sz w:val="16"/>
              </w:rPr>
              <w:t>2 161 500</w:t>
            </w:r>
          </w:p>
        </w:tc>
      </w:tr>
      <w:tr>
        <w:trPr>
          <w:cantSplit/>
        </w:trPr>
        <w:tc>
          <w:tcPr>
            <w:tcW w:type="dxa" w:w="6520"/>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b/>
                <w:sz w:val="16"/>
              </w:rPr>
              <w:t>Demande recommandée</w:t>
            </w:r>
          </w:p>
        </w:tc>
        <w:tc>
          <w:tcPr>
            <w:tcW w:type="dxa" w:w="283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b/>
                <w:sz w:val="16"/>
              </w:rPr>
              <w:t>2 500 000</w:t>
            </w:r>
          </w:p>
        </w:tc>
      </w:tr>
    </w:tbl>
    <w:p>
      <w:pPr>
        <w:spacing w:after="40"/>
      </w:pPr>
    </w:p>
    <w:p>
      <w:r>
        <w:t>L’écart de 338 500 FCFA n’est pas une dépense automatique. Il doit être ventilé, plafonné et décaissé uniquement sur approbation. La édition consolidée distingue clairement la tranche pilote de la phase d’industrialisation.</w:t>
      </w:r>
    </w:p>
    <w:p>
      <w:pPr>
        <w:pStyle w:val="Heading1"/>
        <w:keepNext/>
        <w:pageBreakBefore w:val="0"/>
      </w:pPr>
      <w:r>
        <w:t>7. Lecture financière à 36 mois</w:t>
      </w:r>
    </w:p>
    <w:p>
      <w:r>
        <w:t>Le scénario de base reconstruit intègre des coûts absents du modèle initial : direction, acquisition commerciale, technologie, conformité continue, administration et effectifs nécessaires à la capacité. Dans ce scénario, le premier résultat opérationnel mensuel positif apparaît en février 2028 et le besoin cumulé maximal avant financement atteint environ 30 144 364 FCFA.</w:t>
      </w:r>
    </w:p>
    <w:p>
      <w:pPr>
        <w:keepLines/>
        <w:jc w:val="center"/>
      </w:pPr>
      <w:r/>
    </w:p>
    <w:p>
      <w:pPr>
        <w:pStyle w:val="Smallnote"/>
        <w:jc w:val="center"/>
      </w:pPr>
      <w:r>
        <w:rPr>
          <w:b/>
        </w:rPr>
        <w:t>Scénario de base - revenus et charges mensuels</w:t>
      </w:r>
    </w:p>
    <w:p>
      <w:pPr>
        <w:pStyle w:val="Sourcenote"/>
        <w:jc w:val="center"/>
      </w:pPr>
      <w:r>
        <w:t>Source : modèle financier Dëggal. Hypothèses modifiables; aucune donnée historique de revenus n’a été fournie.</w:t>
      </w: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D4A936"/>
            <w:tcMar>
              <w:top w:w="110" w:type="dxa"/>
              <w:start w:w="130" w:type="dxa"/>
              <w:bottom w:w="110" w:type="dxa"/>
              <w:end w:w="130" w:type="dxa"/>
            </w:tcMar>
            <w:tcBorders>
              <w:top w:val="nil"/>
              <w:left w:val="nil"/>
              <w:bottom w:val="nil"/>
              <w:right w:val="nil"/>
            </w:tcBorders>
          </w:tcPr>
          <w:p/>
        </w:tc>
        <w:tc>
          <w:tcPr>
            <w:tcW w:type="dxa" w:w="9072"/>
            <w:shd w:fill="FBF4DA"/>
            <w:tcMar>
              <w:top w:w="110" w:type="dxa"/>
              <w:start w:w="130" w:type="dxa"/>
              <w:bottom w:w="110" w:type="dxa"/>
              <w:end w:w="130" w:type="dxa"/>
            </w:tcMar>
            <w:tcBorders>
              <w:top w:val="nil"/>
              <w:left w:val="nil"/>
              <w:bottom w:val="nil"/>
              <w:right w:val="nil"/>
            </w:tcBorders>
          </w:tcPr>
          <w:p>
            <w:pPr>
              <w:pStyle w:val="Callouttitle"/>
            </w:pPr>
            <w:r>
              <w:t>Conséquence</w:t>
            </w:r>
          </w:p>
          <w:p>
            <w:pPr>
              <w:pStyle w:val="Callouttext"/>
            </w:pPr>
            <w:r>
              <w:t>La demande immédiate reste 2,5 M FCFA pour tester le pilote. Toute levée de phase 2 doit être conditionnée à la qualité des dossiers, au coût complet et à une traction commerciale encaissée.</w:t>
            </w:r>
          </w:p>
        </w:tc>
      </w:tr>
    </w:tbl>
    <w:p>
      <w:pPr>
        <w:spacing w:after="20" w:before="0"/>
      </w:pPr>
    </w:p>
    <w:p>
      <w:pPr>
        <w:pStyle w:val="Heading1"/>
        <w:keepNext/>
        <w:pageBreakBefore w:val="0"/>
      </w:pPr>
      <w:r>
        <w:t>8. Gouvernance, données et éthique</w:t>
      </w:r>
    </w:p>
    <w:p>
      <w:pPr>
        <w:pStyle w:val="ListBullet"/>
      </w:pPr>
      <w:r>
        <w:t>Aucun PIN, mot de passe, code mobile money, solde, carte bancaire ou accès complet au téléphone.</w:t>
      </w:r>
    </w:p>
    <w:p>
      <w:pPr>
        <w:pStyle w:val="ListBullet"/>
      </w:pPr>
      <w:r>
        <w:t>Aucun enregistrement caché; l’audio et la photo reconnaissable nécessitent un accord explicite.</w:t>
      </w:r>
    </w:p>
    <w:p>
      <w:pPr>
        <w:pStyle w:val="ListBullet"/>
      </w:pPr>
      <w:r>
        <w:t>Aucun partage du dossier brut; les partenaires reçoivent uniquement une vue filtrée.</w:t>
      </w:r>
    </w:p>
    <w:p>
      <w:pPr>
        <w:pStyle w:val="ListBullet"/>
      </w:pPr>
      <w:r>
        <w:t>Chaque accès est nominatif, limité dans le temps, révocable et journalisé.</w:t>
      </w:r>
    </w:p>
    <w:p>
      <w:pPr>
        <w:pStyle w:val="ListBullet"/>
      </w:pPr>
      <w:r>
        <w:t>Le commerçant peut demander l’accès, la correction, le retrait ou la suppression selon la procédure validée.</w:t>
      </w:r>
    </w:p>
    <w:p>
      <w:pPr>
        <w:pStyle w:val="ListBullet"/>
      </w:pPr>
      <w:r>
        <w:t>Dëggal ne garantit ni prêt, ni subvention, ni contrat, ni sélection.</w:t>
      </w:r>
    </w:p>
    <w:p>
      <w:pPr>
        <w:pStyle w:val="Sourcenote"/>
      </w:pPr>
      <w:r>
        <w:t>Sénégal - loi n° 2008-12 du 25 janvier 2008 sur la protection des données à caractère personnel - texte à vérifier dans sa version en vigueur. Commission de protection des données personnelles du Sénégal: https://www.cdp.sn/</w:t>
      </w:r>
    </w:p>
    <w:p>
      <w:pPr>
        <w:pStyle w:val="Heading1"/>
        <w:keepNext/>
        <w:pageBreakBefore w:val="0"/>
      </w:pPr>
      <w:r>
        <w:t>9. Risques majeurs</w:t>
      </w:r>
    </w:p>
    <w:tbl>
      <w:tblPr>
        <w:tblW w:type="auto" w:w="0"/>
        <w:jc w:val="center"/>
        <w:tblLayout w:type="fixed"/>
        <w:tblLook w:firstColumn="1" w:firstRow="1" w:lastColumn="0" w:lastRow="0" w:noHBand="0" w:noVBand="1" w:val="04A0"/>
      </w:tblPr>
      <w:tblGrid>
        <w:gridCol w:w="2388"/>
        <w:gridCol w:w="2388"/>
        <w:gridCol w:w="2388"/>
        <w:gridCol w:w="2388"/>
      </w:tblGrid>
      <w:tr>
        <w:trPr>
          <w:tblHeader w:val="true"/>
        </w:trPr>
        <w:tc>
          <w:tcPr>
            <w:tcW w:type="dxa" w:w="2494"/>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Risque</w:t>
            </w:r>
          </w:p>
        </w:tc>
        <w:tc>
          <w:tcPr>
            <w:tcW w:type="dxa" w:w="124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Niveau initial</w:t>
            </w:r>
          </w:p>
        </w:tc>
        <w:tc>
          <w:tcPr>
            <w:tcW w:type="dxa" w:w="3515"/>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Réponse minimale</w:t>
            </w:r>
          </w:p>
        </w:tc>
        <w:tc>
          <w:tcPr>
            <w:tcW w:type="dxa" w:w="209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5"/>
              </w:rPr>
              <w:t>Porte d’arrêt</w:t>
            </w:r>
          </w:p>
        </w:tc>
      </w:tr>
      <w:tr>
        <w:trPr>
          <w:cantSplit/>
        </w:trPr>
        <w:tc>
          <w:tcPr>
            <w:tcW w:type="dxa" w:w="249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Consentement incompris ou invalide</w:t>
            </w:r>
          </w:p>
        </w:tc>
        <w:tc>
          <w:tcPr>
            <w:tcW w:type="dxa" w:w="124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Critique</w:t>
            </w:r>
          </w:p>
        </w:tc>
        <w:tc>
          <w:tcPr>
            <w:tcW w:type="dxa" w:w="351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Script oral, trace séparée, contrôle QA et droit de refus.</w:t>
            </w:r>
          </w:p>
        </w:tc>
        <w:tc>
          <w:tcPr>
            <w:tcW w:type="dxa" w:w="209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Collecte suspendue.</w:t>
            </w:r>
          </w:p>
        </w:tc>
      </w:tr>
      <w:tr>
        <w:trPr>
          <w:cantSplit/>
        </w:trPr>
        <w:tc>
          <w:tcPr>
            <w:tcW w:type="dxa" w:w="249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Demande partenaire non payante</w:t>
            </w:r>
          </w:p>
        </w:tc>
        <w:tc>
          <w:tcPr>
            <w:tcW w:type="dxa" w:w="124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Élevé</w:t>
            </w:r>
          </w:p>
        </w:tc>
        <w:tc>
          <w:tcPr>
            <w:tcW w:type="dxa" w:w="351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Tester prix et preuve commerciale avant construction lourde.</w:t>
            </w:r>
          </w:p>
        </w:tc>
        <w:tc>
          <w:tcPr>
            <w:tcW w:type="dxa" w:w="209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Pas de phase 2 sans signal fort.</w:t>
            </w:r>
          </w:p>
        </w:tc>
      </w:tr>
      <w:tr>
        <w:trPr>
          <w:cantSplit/>
        </w:trPr>
        <w:tc>
          <w:tcPr>
            <w:tcW w:type="dxa" w:w="249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Coût complet supérieur au prix</w:t>
            </w:r>
          </w:p>
        </w:tc>
        <w:tc>
          <w:tcPr>
            <w:tcW w:type="dxa" w:w="124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Élevé</w:t>
            </w:r>
          </w:p>
        </w:tc>
        <w:tc>
          <w:tcPr>
            <w:tcW w:type="dxa" w:w="351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Mesurer coût par profil et par visite, incluant coûts centraux.</w:t>
            </w:r>
          </w:p>
        </w:tc>
        <w:tc>
          <w:tcPr>
            <w:tcW w:type="dxa" w:w="209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Revoir prix, segment ou processus.</w:t>
            </w:r>
          </w:p>
        </w:tc>
      </w:tr>
      <w:tr>
        <w:trPr>
          <w:cantSplit/>
        </w:trPr>
        <w:tc>
          <w:tcPr>
            <w:tcW w:type="dxa" w:w="249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Fuite ou partage excessif</w:t>
            </w:r>
          </w:p>
        </w:tc>
        <w:tc>
          <w:tcPr>
            <w:tcW w:type="dxa" w:w="124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Critique</w:t>
            </w:r>
          </w:p>
        </w:tc>
        <w:tc>
          <w:tcPr>
            <w:tcW w:type="dxa" w:w="351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Accès nommé, filtré, expirant et journalisé.</w:t>
            </w:r>
          </w:p>
        </w:tc>
        <w:tc>
          <w:tcPr>
            <w:tcW w:type="dxa" w:w="209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Révocation et incident formel.</w:t>
            </w:r>
          </w:p>
        </w:tc>
      </w:tr>
      <w:tr>
        <w:trPr>
          <w:cantSplit/>
        </w:trPr>
        <w:tc>
          <w:tcPr>
            <w:tcW w:type="dxa" w:w="2494"/>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Qualité insuffisante ou fraude</w:t>
            </w:r>
          </w:p>
        </w:tc>
        <w:tc>
          <w:tcPr>
            <w:tcW w:type="dxa" w:w="124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Élevé</w:t>
            </w:r>
          </w:p>
        </w:tc>
        <w:tc>
          <w:tcPr>
            <w:tcW w:type="dxa" w:w="3515"/>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Niveaux de preuve, échantillonnage et statut bloqué.</w:t>
            </w:r>
          </w:p>
        </w:tc>
        <w:tc>
          <w:tcPr>
            <w:tcW w:type="dxa" w:w="209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5"/>
              </w:rPr>
              <w:t>Dossiers non partageables.</w:t>
            </w:r>
          </w:p>
        </w:tc>
      </w:tr>
      <w:tr>
        <w:trPr>
          <w:cantSplit/>
        </w:trPr>
        <w:tc>
          <w:tcPr>
            <w:tcW w:type="dxa" w:w="2494"/>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Confusion avec un prêteur</w:t>
            </w:r>
          </w:p>
        </w:tc>
        <w:tc>
          <w:tcPr>
            <w:tcW w:type="dxa" w:w="124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Élevé</w:t>
            </w:r>
          </w:p>
        </w:tc>
        <w:tc>
          <w:tcPr>
            <w:tcW w:type="dxa" w:w="3515"/>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Message constant et clauses de non-garantie.</w:t>
            </w:r>
          </w:p>
        </w:tc>
        <w:tc>
          <w:tcPr>
            <w:tcW w:type="dxa" w:w="209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5"/>
              </w:rPr>
              <w:t>Retrait des supports ambigus.</w:t>
            </w:r>
          </w:p>
        </w:tc>
      </w:tr>
    </w:tbl>
    <w:p>
      <w:pPr>
        <w:spacing w:after="40"/>
      </w:pPr>
    </w:p>
    <w:p>
      <w:pPr>
        <w:pStyle w:val="Heading1"/>
        <w:keepNext/>
        <w:pageBreakBefore w:val="0"/>
      </w:pPr>
      <w:r>
        <w:t>10. Critères d’approbation</w:t>
      </w:r>
    </w:p>
    <w:tbl>
      <w:tblPr>
        <w:tblW w:type="auto" w:w="0"/>
        <w:jc w:val="center"/>
        <w:tblLayout w:type="fixed"/>
        <w:tblLook w:firstColumn="1" w:firstRow="1" w:lastColumn="0" w:lastRow="0" w:noHBand="0" w:noVBand="1" w:val="04A0"/>
      </w:tblPr>
      <w:tblGrid>
        <w:gridCol w:w="3184"/>
        <w:gridCol w:w="3184"/>
        <w:gridCol w:w="3184"/>
      </w:tblGrid>
      <w:tr>
        <w:trPr>
          <w:tblHeader w:val="true"/>
        </w:trPr>
        <w:tc>
          <w:tcPr>
            <w:tcW w:type="dxa" w:w="2381"/>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Condition</w:t>
            </w:r>
          </w:p>
        </w:tc>
        <w:tc>
          <w:tcPr>
            <w:tcW w:type="dxa" w:w="4876"/>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Preuve avant démarrage</w:t>
            </w:r>
          </w:p>
        </w:tc>
        <w:tc>
          <w:tcPr>
            <w:tcW w:type="dxa" w:w="2097"/>
            <w:shd w:fill="0B5947"/>
            <w:tcMar>
              <w:top w:w="100" w:type="dxa"/>
              <w:start w:w="100" w:type="dxa"/>
              <w:bottom w:w="100" w:type="dxa"/>
              <w:end w:w="100" w:type="dxa"/>
            </w:tcMar>
            <w:tcBorders>
              <w:top w:val="single" w:sz="4" w:color="0B5947"/>
              <w:left w:val="single" w:sz="4" w:color="0B5947"/>
              <w:bottom w:val="single" w:sz="4" w:color="0B5947"/>
              <w:right w:val="single" w:sz="4" w:color="0B5947"/>
            </w:tcBorders>
          </w:tcPr>
          <w:p>
            <w:pPr>
              <w:pStyle w:val="Tabletext"/>
              <w:jc w:val="left"/>
            </w:pPr>
            <w:r>
              <w:rPr>
                <w:b/>
                <w:color w:val="FFFFFF"/>
                <w:sz w:val="16"/>
              </w:rPr>
              <w:t>Décision</w:t>
            </w:r>
          </w:p>
        </w:tc>
      </w:tr>
      <w:tr>
        <w:trPr>
          <w:cantSplit/>
        </w:trPr>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Entité et signataire identifiés</w:t>
            </w:r>
          </w:p>
        </w:tc>
        <w:tc>
          <w:tcPr>
            <w:tcW w:type="dxa" w:w="487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Immatriculation, adresse et mandat du signataire.</w:t>
            </w:r>
          </w:p>
        </w:tc>
        <w:tc>
          <w:tcPr>
            <w:tcW w:type="dxa" w:w="209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Obligatoire.</w:t>
            </w:r>
          </w:p>
        </w:tc>
      </w:tr>
      <w:tr>
        <w:trPr>
          <w:cantSplit/>
        </w:trPr>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Responsables nommés</w:t>
            </w:r>
          </w:p>
        </w:tc>
        <w:tc>
          <w:tcPr>
            <w:tcW w:type="dxa" w:w="487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Opérations, données, finance et partenariats.</w:t>
            </w:r>
          </w:p>
        </w:tc>
        <w:tc>
          <w:tcPr>
            <w:tcW w:type="dxa" w:w="209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Obligatoire.</w:t>
            </w:r>
          </w:p>
        </w:tc>
      </w:tr>
      <w:tr>
        <w:trPr>
          <w:cantSplit/>
        </w:trPr>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Cadre données validé</w:t>
            </w:r>
          </w:p>
        </w:tc>
        <w:tc>
          <w:tcPr>
            <w:tcW w:type="dxa" w:w="487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Politique, consentements, registre et avis juridique sur formalités.</w:t>
            </w:r>
          </w:p>
        </w:tc>
        <w:tc>
          <w:tcPr>
            <w:tcW w:type="dxa" w:w="209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Obligatoire avant données réelles.</w:t>
            </w:r>
          </w:p>
        </w:tc>
      </w:tr>
      <w:tr>
        <w:trPr>
          <w:cantSplit/>
        </w:trPr>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Budget et décaissement</w:t>
            </w:r>
          </w:p>
        </w:tc>
        <w:tc>
          <w:tcPr>
            <w:tcW w:type="dxa" w:w="487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Convention, postes, plafond et justificatifs.</w:t>
            </w:r>
          </w:p>
        </w:tc>
        <w:tc>
          <w:tcPr>
            <w:tcW w:type="dxa" w:w="209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Obligatoire.</w:t>
            </w:r>
          </w:p>
        </w:tc>
      </w:tr>
      <w:tr>
        <w:trPr>
          <w:cantSplit/>
        </w:trPr>
        <w:tc>
          <w:tcPr>
            <w:tcW w:type="dxa" w:w="2381"/>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Zones et sécurité</w:t>
            </w:r>
          </w:p>
        </w:tc>
        <w:tc>
          <w:tcPr>
            <w:tcW w:type="dxa" w:w="4876"/>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Autorisation locale, plan de déplacement, contacts d’urgence.</w:t>
            </w:r>
          </w:p>
        </w:tc>
        <w:tc>
          <w:tcPr>
            <w:tcW w:type="dxa" w:w="2097"/>
            <w:tcMar>
              <w:top w:w="85" w:type="dxa"/>
              <w:start w:w="95" w:type="dxa"/>
              <w:bottom w:w="85" w:type="dxa"/>
              <w:end w:w="95" w:type="dxa"/>
            </w:tcMar>
            <w:shd w:fill="FFFFFF"/>
            <w:tcBorders>
              <w:left w:val="single" w:sz="2" w:color="EDF0EF"/>
              <w:bottom w:val="single" w:sz="3" w:color="DDE3E0"/>
              <w:right w:val="single" w:sz="2" w:color="EDF0EF"/>
            </w:tcBorders>
          </w:tcPr>
          <w:p>
            <w:pPr>
              <w:pStyle w:val="Tabletext"/>
            </w:pPr>
            <w:r>
              <w:rPr>
                <w:sz w:val="16"/>
              </w:rPr>
              <w:t>Obligatoire.</w:t>
            </w:r>
          </w:p>
        </w:tc>
      </w:tr>
      <w:tr>
        <w:trPr>
          <w:cantSplit/>
        </w:trPr>
        <w:tc>
          <w:tcPr>
            <w:tcW w:type="dxa" w:w="2381"/>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Reporting</w:t>
            </w:r>
          </w:p>
        </w:tc>
        <w:tc>
          <w:tcPr>
            <w:tcW w:type="dxa" w:w="4876"/>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Dashboard, registre d’incidents et revue hebdomadaire.</w:t>
            </w:r>
          </w:p>
        </w:tc>
        <w:tc>
          <w:tcPr>
            <w:tcW w:type="dxa" w:w="2097"/>
            <w:tcMar>
              <w:top w:w="85" w:type="dxa"/>
              <w:start w:w="95" w:type="dxa"/>
              <w:bottom w:w="85" w:type="dxa"/>
              <w:end w:w="95" w:type="dxa"/>
            </w:tcMar>
            <w:shd w:fill="F2F4F3"/>
            <w:tcBorders>
              <w:left w:val="single" w:sz="2" w:color="EDF0EF"/>
              <w:bottom w:val="single" w:sz="3" w:color="DDE3E0"/>
              <w:right w:val="single" w:sz="2" w:color="EDF0EF"/>
            </w:tcBorders>
          </w:tcPr>
          <w:p>
            <w:pPr>
              <w:pStyle w:val="Tabletext"/>
            </w:pPr>
            <w:r>
              <w:rPr>
                <w:sz w:val="16"/>
              </w:rPr>
              <w:t>Obligatoire.</w:t>
            </w:r>
          </w:p>
        </w:tc>
      </w:tr>
    </w:tbl>
    <w:p>
      <w:pPr>
        <w:spacing w:after="40"/>
      </w:pPr>
    </w:p>
    <w:p>
      <w:pPr>
        <w:pStyle w:val="Heading1"/>
        <w:keepNext/>
        <w:pageBreakBefore w:val="0"/>
      </w:pPr>
      <w:r>
        <w:t>11. Décision recommandée</w:t>
      </w:r>
    </w:p>
    <w:tbl>
      <w:tblPr>
        <w:tblW w:type="auto" w:w="0"/>
        <w:jc w:val="center"/>
        <w:tblLayout w:type="fixed"/>
        <w:tblLook w:firstColumn="1" w:firstRow="1" w:lastColumn="0" w:lastRow="0" w:noHBand="0" w:noVBand="1" w:val="04A0"/>
      </w:tblPr>
      <w:tblGrid>
        <w:gridCol w:w="4776"/>
        <w:gridCol w:w="4776"/>
      </w:tblGrid>
      <w:tr>
        <w:trPr>
          <w:cantSplit/>
        </w:trPr>
        <w:tc>
          <w:tcPr>
            <w:tcW w:type="dxa" w:w="141"/>
            <w:shd w:fill="0B5947"/>
            <w:tcMar>
              <w:top w:w="110" w:type="dxa"/>
              <w:start w:w="130" w:type="dxa"/>
              <w:bottom w:w="110" w:type="dxa"/>
              <w:end w:w="130" w:type="dxa"/>
            </w:tcMar>
            <w:tcBorders>
              <w:top w:val="nil"/>
              <w:left w:val="nil"/>
              <w:bottom w:val="nil"/>
              <w:right w:val="nil"/>
            </w:tcBorders>
          </w:tcPr>
          <w:p/>
        </w:tc>
        <w:tc>
          <w:tcPr>
            <w:tcW w:type="dxa" w:w="9072"/>
            <w:shd w:fill="EAF3EF"/>
            <w:tcMar>
              <w:top w:w="110" w:type="dxa"/>
              <w:start w:w="130" w:type="dxa"/>
              <w:bottom w:w="110" w:type="dxa"/>
              <w:end w:w="130" w:type="dxa"/>
            </w:tcMar>
            <w:tcBorders>
              <w:top w:val="nil"/>
              <w:left w:val="nil"/>
              <w:bottom w:val="nil"/>
              <w:right w:val="nil"/>
            </w:tcBorders>
          </w:tcPr>
          <w:p>
            <w:pPr>
              <w:pStyle w:val="Callouttitle"/>
            </w:pPr>
            <w:r>
              <w:t>Autorisation conditionnelle</w:t>
            </w:r>
          </w:p>
          <w:p>
            <w:pPr>
              <w:pStyle w:val="Callouttext"/>
            </w:pPr>
            <w:r>
              <w:t>Financer le pilote de 30 jours par tranches, avec arrêt automatique si le consentement, la sécurité, la qualité ou la traçabilité financière ne sont pas maîtrisés. Ne pas financer une plateforme lourde avant preuve du besoin et de la disposition à payer.</w:t>
            </w:r>
          </w:p>
        </w:tc>
      </w:tr>
    </w:tbl>
    <w:p>
      <w:pPr>
        <w:spacing w:after="20" w:before="0"/>
      </w:pPr>
    </w:p>
    <w:p>
      <w:pPr>
        <w:pStyle w:val="Heading1"/>
        <w:keepNext/>
        <w:pageBreakBefore w:val="0"/>
      </w:pPr>
      <w:r>
        <w:t>12. Sources</w:t>
      </w:r>
    </w:p>
    <w:p>
      <w:pPr>
        <w:pStyle w:val="Sourcenote"/>
      </w:pPr>
      <w:r>
        <w:t>Pack Dëggal reconstruit, version du 12 juillet 2026 - source interne.</w:t>
      </w:r>
    </w:p>
    <w:p>
      <w:pPr>
        <w:pStyle w:val="Sourcenote"/>
      </w:pPr>
      <w:r>
        <w:t>OIT - économie informelle: https://www.ilo.org/topics-and-sectors/informal-economy</w:t>
      </w:r>
    </w:p>
    <w:p>
      <w:pPr>
        <w:pStyle w:val="Sourcenote"/>
      </w:pPr>
      <w:r>
        <w:t>Banque mondiale - Global Findex 2021: https://www.worldbank.org/en/publication/globalfindex</w:t>
      </w:r>
    </w:p>
    <w:p>
      <w:pPr>
        <w:pStyle w:val="Sourcenote"/>
      </w:pPr>
      <w:r>
        <w:t>GSMA - State of the Industry Report on Mobile Money: https://www.gsma.com/sotir/</w:t>
      </w:r>
    </w:p>
    <w:p>
      <w:pPr>
        <w:pStyle w:val="Sourcenote"/>
      </w:pPr>
      <w:r>
        <w:t>BCEAO - publications sur l’inclusion financière dans l’UEMOA: https://www.bceao.int/</w:t>
      </w:r>
    </w:p>
    <w:p>
      <w:pPr>
        <w:pStyle w:val="Sourcenote"/>
      </w:pPr>
      <w:r>
        <w:t>ANSD Sénégal - statistiques et enquêtes nationales: https://www.ansd.sn/</w:t>
      </w:r>
    </w:p>
    <w:p>
      <w:pPr>
        <w:pStyle w:val="Sourcenote"/>
      </w:pPr>
      <w:r>
        <w:t>Commission de protection des données personnelles du Sénégal: https://www.cdp.sn/</w:t>
      </w:r>
    </w:p>
    <w:sectPr w:rsidR="00FC693F" w:rsidRPr="0006063C" w:rsidSect="00034616">
      <w:headerReference w:type="default" r:id="rId10"/>
      <w:footerReference w:type="default" r:id="rId11"/>
      <w:pgSz w:w="11906" w:h="16838"/>
      <w:pgMar w:top="1134" w:right="1134" w:bottom="1020" w:left="1219" w:header="397" w:footer="369" w:gutter="0"/>
      <w:cols w:space="720"/>
      <w:titlePg/>
      <w:docGrid w:linePitch="360"/>
      <w:pgNumType w:start="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tblLayout w:type="fixed"/>
      <w:tblLook w:firstColumn="1" w:firstRow="1" w:lastColumn="0" w:lastRow="0" w:noHBand="0" w:noVBand="1" w:val="04A0"/>
    </w:tblPr>
    <w:tblGrid>
      <w:gridCol w:w="3184"/>
      <w:gridCol w:w="3184"/>
      <w:gridCol w:w="3184"/>
    </w:tblGrid>
    <w:tr>
      <w:tc>
        <w:tcPr>
          <w:tcW w:type="dxa" w:w="2551"/>
          <w:tcBorders>
            <w:top w:val="single" w:sz="4" w:color="D6DEDA"/>
          </w:tcBorders>
        </w:tcPr>
        <w:p>
          <w:pPr>
            <w:spacing w:before="40" w:after="0"/>
            <w:jc w:val="left"/>
          </w:pPr>
          <w:r>
            <w:rPr>
              <w:color w:val="6D7471"/>
              <w:sz w:val="14"/>
            </w:rPr>
            <w:t>Confidentiel - diffusion contrôlée</w:t>
          </w:r>
        </w:p>
      </w:tc>
      <w:tc>
        <w:tcPr>
          <w:tcW w:type="dxa" w:w="4450"/>
          <w:tcBorders>
            <w:top w:val="single" w:sz="4" w:color="D6DEDA"/>
          </w:tcBorders>
        </w:tcPr>
        <w:p>
          <w:pPr>
            <w:spacing w:before="40" w:after="0"/>
            <w:jc w:val="center"/>
          </w:pPr>
          <w:r>
            <w:rPr>
              <w:color w:val="6D7471"/>
              <w:sz w:val="14"/>
            </w:rPr>
            <w:t>12 juillet 2026</w:t>
          </w:r>
        </w:p>
      </w:tc>
      <w:tc>
        <w:tcPr>
          <w:tcW w:type="dxa" w:w="2551"/>
          <w:tcBorders>
            <w:top w:val="single" w:sz="4" w:color="D6DEDA"/>
          </w:tcBorders>
        </w:tcPr>
        <w:p>
          <w:pPr>
            <w:spacing w:before="40" w:after="0"/>
            <w:jc w:val="center"/>
          </w:pPr>
          <w:r>
            <w:rPr>
              <w:color w:val="6D7471"/>
              <w:sz w:val="14"/>
            </w:rPr>
            <w:t xml:space="preserve">Page </w:t>
          </w:r>
        </w:p>
      </w:tc>
    </w:tr>
  </w:tbl>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tblLayout w:type="fixed"/>
      <w:tblLook w:firstColumn="1" w:firstRow="1" w:lastColumn="0" w:lastRow="0" w:noHBand="0" w:noVBand="1" w:val="04A0"/>
    </w:tblPr>
    <w:tblGrid>
      <w:gridCol w:w="3184"/>
      <w:gridCol w:w="3184"/>
      <w:gridCol w:w="3184"/>
    </w:tblGrid>
    <w:tr>
      <w:tc>
        <w:tcPr>
          <w:tcW w:type="dxa" w:w="2551"/>
          <w:tcBorders>
            <w:bottom w:val="single" w:sz="8" w:color="D4A936"/>
          </w:tcBorders>
        </w:tcPr>
        <w:p>
          <w:pPr>
            <w:spacing w:after="40"/>
            <w:jc w:val="left"/>
          </w:pPr>
          <w:r>
            <w:rPr>
              <w:rFonts w:ascii="Carlito" w:hAnsi="Carlito"/>
              <w:b/>
              <w:color w:val="0B5947"/>
              <w:sz w:val="15"/>
            </w:rPr>
            <w:t>DËGGAL</w:t>
          </w:r>
        </w:p>
      </w:tc>
      <w:tc>
        <w:tcPr>
          <w:tcW w:type="dxa" w:w="4450"/>
          <w:tcBorders>
            <w:bottom w:val="single" w:sz="8" w:color="D4A936"/>
          </w:tcBorders>
        </w:tcPr>
        <w:p>
          <w:pPr>
            <w:spacing w:after="40"/>
            <w:jc w:val="center"/>
          </w:pPr>
          <w:r>
            <w:rPr>
              <w:rFonts w:ascii="Carlito" w:hAnsi="Carlito"/>
              <w:b w:val="0"/>
              <w:color w:val="6D7471"/>
              <w:sz w:val="15"/>
            </w:rPr>
            <w:t>Résumé exécutif du pilote Dakar</w:t>
          </w:r>
        </w:p>
      </w:tc>
      <w:tc>
        <w:tcPr>
          <w:tcW w:type="dxa" w:w="2551"/>
          <w:tcBorders>
            <w:bottom w:val="single" w:sz="8" w:color="D4A936"/>
          </w:tcBorders>
        </w:tcPr>
        <w:p>
          <w:pPr>
            <w:spacing w:after="40"/>
            <w:jc w:val="right"/>
          </w:pPr>
          <w:r>
            <w:rPr>
              <w:rFonts w:ascii="Carlito" w:hAnsi="Carlito"/>
              <w:b w:val="0"/>
              <w:color w:val="6D7471"/>
              <w:sz w:val="15"/>
            </w:rPr>
            <w:t>Édition consolidée</w:t>
          </w:r>
        </w:p>
      </w:tc>
    </w:tr>
  </w:tbl>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10" w:line="271" w:lineRule="auto"/>
    </w:pPr>
    <w:rPr>
      <w:rFonts w:ascii="Carlito" w:hAnsi="Carlito"/>
      <w:color w:val="1F2A26"/>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40"/>
      <w:outlineLvl w:val="0"/>
    </w:pPr>
    <w:rPr>
      <w:rFonts w:asciiTheme="majorHAnsi" w:eastAsiaTheme="majorEastAsia" w:hAnsiTheme="majorHAnsi" w:cstheme="majorBidi" w:ascii="Cabin" w:hAnsi="Cabin"/>
      <w:b/>
      <w:bCs/>
      <w:color w:val="0B5947"/>
      <w:sz w:val="32"/>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ascii="Cabin" w:hAnsi="Cabin"/>
      <w:b/>
      <w:bCs/>
      <w:color w:val="C97B42"/>
      <w:sz w:val="25"/>
      <w:szCs w:val="26"/>
    </w:rPr>
  </w:style>
  <w:style w:type="paragraph" w:styleId="Heading3">
    <w:name w:val="heading 3"/>
    <w:basedOn w:val="Normal"/>
    <w:next w:val="Normal"/>
    <w:link w:val="Heading3Char"/>
    <w:uiPriority w:val="9"/>
    <w:unhideWhenUsed/>
    <w:qFormat/>
    <w:rsid w:val="00FC693F"/>
    <w:pPr>
      <w:keepNext/>
      <w:keepLines/>
      <w:spacing w:before="180" w:after="60"/>
      <w:outlineLvl w:val="2"/>
    </w:pPr>
    <w:rPr>
      <w:rFonts w:asciiTheme="majorHAnsi" w:eastAsiaTheme="majorEastAsia" w:hAnsiTheme="majorHAnsi" w:cstheme="majorBidi" w:ascii="Cabin" w:hAnsi="Cabin"/>
      <w:b/>
      <w:bCs/>
      <w:color w:val="443A7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Cabin" w:hAnsi="Cabin"/>
      <w:b/>
      <w:color w:val="0B5947"/>
      <w:spacing w:val="5"/>
      <w:kern w:val="28"/>
      <w:sz w:val="56"/>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160"/>
    </w:pPr>
    <w:rPr>
      <w:rFonts w:asciiTheme="majorHAnsi" w:eastAsiaTheme="majorEastAsia" w:hAnsiTheme="majorHAnsi" w:cstheme="majorBidi" w:ascii="Cabin" w:hAnsi="Cabin"/>
      <w:b w:val="0"/>
      <w:i/>
      <w:iCs/>
      <w:color w:val="6D7471"/>
      <w:spacing w:val="15"/>
      <w:sz w:val="26"/>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Carlito" w:hAnsi="Carlito"/>
      <w:sz w:val="20"/>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Carlito" w:hAnsi="Carlito"/>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note">
    <w:name w:val="Small note"/>
    <w:pPr>
      <w:spacing w:after="40"/>
    </w:pPr>
    <w:rPr>
      <w:rFonts w:ascii="Carlito" w:hAnsi="Carlito"/>
      <w:color w:val="6D7471"/>
      <w:sz w:val="16"/>
    </w:rPr>
  </w:style>
  <w:style w:type="paragraph" w:customStyle="1" w:styleId="Sourcenote">
    <w:name w:val="Source note"/>
    <w:pPr>
      <w:spacing w:before="40" w:after="80"/>
    </w:pPr>
    <w:rPr>
      <w:rFonts w:ascii="Carlito" w:hAnsi="Carlito"/>
      <w:i/>
      <w:color w:val="6D7471"/>
      <w:sz w:val="15"/>
    </w:rPr>
  </w:style>
  <w:style w:type="paragraph" w:customStyle="1" w:styleId="Tabletext">
    <w:name w:val="Table text"/>
    <w:pPr>
      <w:spacing w:after="0" w:line="240" w:lineRule="auto"/>
    </w:pPr>
    <w:rPr>
      <w:rFonts w:ascii="Carlito" w:hAnsi="Carlito"/>
      <w:color w:val="1F2A26"/>
      <w:sz w:val="17"/>
    </w:rPr>
  </w:style>
  <w:style w:type="paragraph" w:customStyle="1" w:styleId="KPIlabel">
    <w:name w:val="KPI label"/>
    <w:pPr>
      <w:spacing w:after="0"/>
    </w:pPr>
    <w:rPr>
      <w:rFonts w:ascii="Carlito" w:hAnsi="Carlito"/>
      <w:b/>
      <w:color w:val="6D7471"/>
      <w:sz w:val="15"/>
    </w:rPr>
  </w:style>
  <w:style w:type="paragraph" w:customStyle="1" w:styleId="KPIvalue">
    <w:name w:val="KPI value"/>
    <w:pPr>
      <w:spacing w:after="20"/>
    </w:pPr>
    <w:rPr>
      <w:rFonts w:ascii="Cabin" w:hAnsi="Cabin"/>
      <w:b/>
      <w:color w:val="0B5947"/>
      <w:sz w:val="32"/>
    </w:rPr>
  </w:style>
  <w:style w:type="paragraph" w:customStyle="1" w:styleId="Callouttitle">
    <w:name w:val="Callout title"/>
    <w:pPr>
      <w:spacing w:after="40"/>
    </w:pPr>
    <w:rPr>
      <w:rFonts w:ascii="Cabin" w:hAnsi="Cabin"/>
      <w:b/>
      <w:color w:val="143B31"/>
      <w:sz w:val="20"/>
    </w:rPr>
  </w:style>
  <w:style w:type="paragraph" w:customStyle="1" w:styleId="Callouttext">
    <w:name w:val="Callout text"/>
    <w:pPr>
      <w:spacing w:after="20"/>
    </w:pPr>
    <w:rPr>
      <w:rFonts w:ascii="Carlito" w:hAnsi="Carlito"/>
      <w:color w:val="1F2A26"/>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image" Target="media/image2.png"/><Relationship Id="rId13"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