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DOSSIER MAÎTRE</w:t>
      </w:r>
    </w:p>
    <w:p>
      <w:pPr>
        <w:pStyle w:val="Title"/>
        <w:jc w:val="center"/>
      </w:pPr>
      <w:r>
        <w:t>Guide de la data room - édition consolidée</w:t>
      </w:r>
    </w:p>
    <w:p>
      <w:pPr>
        <w:pStyle w:val="Subtitle"/>
        <w:jc w:val="center"/>
      </w:pPr>
      <w:r>
        <w:t>Architecture documentaire, gouvernance, traçabilité et conditions de diffusion</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prête pour validation interne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Direction, financeurs, partenaires, conseil juridique et responsables opérationnels</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2"/>
          <w:footerReference w:type="default" r:id="rId13"/>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DOSSIER MAÎTRE</w:t>
      </w:r>
    </w:p>
    <w:p>
      <w:pPr>
        <w:pStyle w:val="Title"/>
        <w:jc w:val="left"/>
      </w:pPr>
      <w:r>
        <w:t>Guide de la data room - édition consolidée</w:t>
      </w:r>
    </w:p>
    <w:p>
      <w:pPr>
        <w:pStyle w:val="Subtitle"/>
        <w:jc w:val="left"/>
      </w:pPr>
      <w:r>
        <w:t>Le point d’entrée unique pour comprendre le projet, les décisions proposées et les éléments qui restent à valider.</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30</w:t>
            </w:r>
          </w:p>
          <w:p>
            <w:pPr>
              <w:pStyle w:val="KPIlabel"/>
              <w:jc w:val="center"/>
            </w:pPr>
            <w:r>
              <w:t>livrables structurés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30 jours</w:t>
            </w:r>
          </w:p>
          <w:p>
            <w:pPr>
              <w:pStyle w:val="KPIlabel"/>
              <w:jc w:val="center"/>
            </w:pPr>
            <w:r>
              <w:t>pilote Dakar</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2,5 M</w:t>
            </w:r>
          </w:p>
          <w:p>
            <w:pPr>
              <w:pStyle w:val="KPIlabel"/>
              <w:jc w:val="center"/>
            </w:pPr>
            <w:r>
              <w:t>FCFA - tranche pilote</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250</w:t>
            </w:r>
          </w:p>
          <w:p>
            <w:pPr>
              <w:pStyle w:val="KPIlabel"/>
              <w:jc w:val="center"/>
            </w:pPr>
            <w:r>
              <w:t>marchands ciblés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20-30</w:t>
            </w:r>
          </w:p>
          <w:p>
            <w:pPr>
              <w:pStyle w:val="KPIlabel"/>
              <w:jc w:val="center"/>
            </w:pPr>
            <w:r>
              <w:t>entretiens partenaires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0</w:t>
            </w:r>
          </w:p>
          <w:p>
            <w:pPr>
              <w:pStyle w:val="KPIlabel"/>
              <w:jc w:val="center"/>
            </w:pPr>
            <w:r>
              <w:t>résultat inventé</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Statut de la édition consolidée</w:t>
            </w:r>
          </w:p>
          <w:p>
            <w:pPr>
              <w:pStyle w:val="Callouttext"/>
            </w:pPr>
            <w:r>
              <w:t>Le contenu existant a été réorganisé, enrichi et relié à des contrôles de décision. Les informations juridiques, commerciales ou historiques non fournies restent explicitement marquées « à compléter » ou « à valider ».</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Objet et statut du dossier</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Décisions consolidées</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Architecture de la data room</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Règles de preuve et de rédaction</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5. Gouvernance documentaire</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6. Matrice de validation avant diffusion</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7. Mapping du pack reconstruit vers le pack consolidé</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8. Portes de décision</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9. Sources de référence</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bl>
    <w:p>
      <w:pPr>
        <w:pStyle w:val="Heading1"/>
        <w:keepNext/>
        <w:pageBreakBefore w:val="0"/>
      </w:pPr>
      <w:r>
        <w:t>1. Objet et statut du dossier</w:t>
      </w:r>
    </w:p>
    <w:p>
      <w:r>
        <w:t>La data room Dëggal présente un projet de pilote opérationnel à Dakar. Elle est conçue pour permettre à un financeur, un partenaire institutionnel, un incubateur ou un responsable interne de distinguer rapidement trois catégories d’information : les décisions proposées, les hypothèses de travail et les preuves réellement disponibles.</w:t>
      </w:r>
    </w:p>
    <w:p>
      <w:r>
        <w:t>La édition consolidée ne cherche pas à donner l’apparence d’une entreprise déjà tractionnée. Elle transforme plutôt le pack initial en dispositif de diligence : chaque objectif est associé à une méthode de mesure, chaque risque à un contrôle et chaque lacune à un propriétaire de clôture.</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Règle de lecture</w:t>
            </w:r>
          </w:p>
          <w:p>
            <w:pPr>
              <w:pStyle w:val="Callouttext"/>
            </w:pPr>
            <w:r>
              <w:t>Une cible n’est pas un résultat. Une conversation n’est pas une traction. Une hypothèse financière n’est pas un historique. Un consentement modèle n’est pas une validation juridique.</w:t>
            </w:r>
          </w:p>
        </w:tc>
      </w:tr>
    </w:tbl>
    <w:p>
      <w:pPr>
        <w:spacing w:after="20" w:before="0"/>
      </w:pPr>
    </w:p>
    <w:p>
      <w:pPr>
        <w:pStyle w:val="Heading1"/>
        <w:keepNext/>
        <w:pageBreakBefore w:val="0"/>
      </w:pPr>
      <w:r>
        <w:t>2. Décisions consolidées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75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Décision</w:t>
            </w:r>
          </w:p>
        </w:tc>
        <w:tc>
          <w:tcPr>
            <w:tcW w:type="dxa" w:w="396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Position retenue</w:t>
            </w:r>
          </w:p>
        </w:tc>
        <w:tc>
          <w:tcPr>
            <w:tcW w:type="dxa" w:w="362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Preuve attendue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Produit initial</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Service assisté de collecte et de structuration de preuves - pas une application lourde, pas un prêteur.</w:t>
            </w:r>
          </w:p>
        </w:tc>
        <w:tc>
          <w:tcPr>
            <w:tcW w:type="dxa" w:w="362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Passeports d’activité complets, datés, consentis et auditables.</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Périmètre</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Pilote de 30 jours à Dakar, limité à des zones et catégories approuvées.</w:t>
            </w:r>
          </w:p>
        </w:tc>
        <w:tc>
          <w:tcPr>
            <w:tcW w:type="dxa" w:w="362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Registre terrain, rapports hebdomadaires et audit de clôture.</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Financement</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Tranche pilote recommandée de 2 500 000 FCFA, dont 2 161 500 FCFA de budget direct.</w:t>
            </w:r>
          </w:p>
        </w:tc>
        <w:tc>
          <w:tcPr>
            <w:tcW w:type="dxa" w:w="362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Convention, budget ventilé, justificatifs et jalons de décaissement.</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Traction</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Au moins une preuve commerciale forte : paiement, bon de commande, contrat ou LOI précise.</w:t>
            </w:r>
          </w:p>
        </w:tc>
        <w:tc>
          <w:tcPr>
            <w:tcW w:type="dxa" w:w="362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Document daté, signataire identifié et prochaine action.</w:t>
            </w:r>
          </w:p>
        </w:tc>
      </w:tr>
      <w:tr>
        <w:trPr>
          <w:cantSplit/>
        </w:trPr>
        <w:tc>
          <w:tcPr>
            <w:tcW w:type="dxa" w:w="175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Données</w:t>
            </w:r>
          </w:p>
        </w:tc>
        <w:tc>
          <w:tcPr>
            <w:tcW w:type="dxa" w:w="396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Partage filtré, nommé, limité dans le temps, révocable et journalisé.</w:t>
            </w:r>
          </w:p>
        </w:tc>
        <w:tc>
          <w:tcPr>
            <w:tcW w:type="dxa" w:w="362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Consentement compatible et journal d’accès.</w:t>
            </w:r>
          </w:p>
        </w:tc>
      </w:tr>
      <w:tr>
        <w:trPr>
          <w:cantSplit/>
        </w:trPr>
        <w:tc>
          <w:tcPr>
            <w:tcW w:type="dxa" w:w="175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Décision finale</w:t>
            </w:r>
          </w:p>
        </w:tc>
        <w:tc>
          <w:tcPr>
            <w:tcW w:type="dxa" w:w="396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Poursuivre, corriger ou arrêter selon qualité, coût, sécurité et demande.</w:t>
            </w:r>
          </w:p>
        </w:tc>
        <w:tc>
          <w:tcPr>
            <w:tcW w:type="dxa" w:w="362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Comité de clôture et note de décision.</w:t>
            </w:r>
          </w:p>
        </w:tc>
      </w:tr>
    </w:tbl>
    <w:p>
      <w:pPr>
        <w:spacing w:after="40"/>
      </w:pPr>
    </w:p>
    <w:p>
      <w:pPr>
        <w:pStyle w:val="Heading1"/>
        <w:keepNext/>
        <w:pageBreakBefore w:val="0"/>
      </w:pPr>
      <w:r>
        <w:t>3. Architecture de la data room</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56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N°</w:t>
            </w:r>
          </w:p>
        </w:tc>
        <w:tc>
          <w:tcPr>
            <w:tcW w:type="dxa" w:w="311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Livrable</w:t>
            </w:r>
          </w:p>
        </w:tc>
        <w:tc>
          <w:tcPr>
            <w:tcW w:type="dxa" w:w="567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Fonction principale</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00</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Guide de la data room</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Index, règles de lecture, validation et traçabilité.</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01</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Résumé exécutif</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Décision de financement du pilote en lecture courte.</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02</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Business plan</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Thèse, modèle, opérations, équipe, impact et plan financier.</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03</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Étude de marché et stratégie</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Segments, alternatives, PESTEL, SWOT et plan de validation.</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04</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Manuel des opérations et SOP</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Procédures de bout en bout, contrôles et escalade.</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05</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Manuel de l’équipe terrain</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Scripts, consentement, preuves, sécurité et checklists.</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06</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Gouvernance des données</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Politique de confidentialité, accès, conservation et incidents.</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07</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Registre des risques et conformité</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Risques, contrôles, KRI et portes de décision.</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08</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Plan marketing et lancement</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Segmentation, messages, funnel et calendrier 30/90 jours.</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09</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Packet partenaires</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Offres, prix, pilotage, messages et modèle de LOI.</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10</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Dossier juridique - modèles</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Consentements, accords, clauses et formulaires.</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11</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Modèle financier 36 mois</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P&amp;L, trésorerie, unités économiques, sensibilité et financement.</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12</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Classeur opérations</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Registres marchands, preuves, consentements, accès et incidents.</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13</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Tableau de bord KPI</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Pilotage quotidien, funnel, qualité, impact et finances.</w:t>
            </w:r>
          </w:p>
        </w:tc>
      </w:tr>
      <w:tr>
        <w:trPr>
          <w:cantSplit/>
        </w:trPr>
        <w:tc>
          <w:tcPr>
            <w:tcW w:type="dxa" w:w="56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14</w:t>
            </w:r>
          </w:p>
        </w:tc>
        <w:tc>
          <w:tcPr>
            <w:tcW w:type="dxa" w:w="311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Présentation investisseurs</w:t>
            </w:r>
          </w:p>
        </w:tc>
        <w:tc>
          <w:tcPr>
            <w:tcW w:type="dxa" w:w="567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Narratif de 17 diapositives et demande conditionnelle.</w:t>
            </w:r>
          </w:p>
        </w:tc>
      </w:tr>
      <w:tr>
        <w:trPr>
          <w:cantSplit/>
        </w:trPr>
        <w:tc>
          <w:tcPr>
            <w:tcW w:type="dxa" w:w="56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15</w:t>
            </w:r>
          </w:p>
        </w:tc>
        <w:tc>
          <w:tcPr>
            <w:tcW w:type="dxa" w:w="311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Registre des hypothèses et lacunes</w:t>
            </w:r>
          </w:p>
        </w:tc>
        <w:tc>
          <w:tcPr>
            <w:tcW w:type="dxa" w:w="567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Traçabilité des points ouverts, responsables et preuves de clôture.</w:t>
            </w:r>
          </w:p>
        </w:tc>
      </w:tr>
    </w:tbl>
    <w:p>
      <w:pPr>
        <w:spacing w:after="40"/>
      </w:pPr>
    </w:p>
    <w:p>
      <w:r>
        <w:t>Les versions PDF sont destinées à la diffusion contrôlée. Les versions DOCX, XLSX et PPTX restent les sources éditables. En cas de divergence, la source éditable validée et son registre de version font foi.</w:t>
      </w:r>
    </w:p>
    <w:p>
      <w:pPr>
        <w:pStyle w:val="Heading1"/>
        <w:keepNext/>
        <w:pageBreakBefore w:val="0"/>
      </w:pPr>
      <w:r>
        <w:t>4. Règles de preuve et de rédaction</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Catégorie</w:t>
            </w:r>
          </w:p>
        </w:tc>
        <w:tc>
          <w:tcPr>
            <w:tcW w:type="dxa" w:w="232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Définition</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Formulation autorisée</w:t>
            </w:r>
          </w:p>
        </w:tc>
        <w:tc>
          <w:tcPr>
            <w:tcW w:type="dxa" w:w="277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Formulation interdite</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Fait vérifié</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Élément observé ou documenté avec date, source et responsable.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237 dossiers contrôlés au 28 juillet, dont 211 partageables. »</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Nous avons environ 250 bons dossiers. »</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Hypothèse</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Valeur nécessaire au modèle mais non encore testée.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 Prix pilote de 25 000 FCFA/mois à tester. »</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 Les partenaires paieront 25 000 FCFA/mois. »</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Objectif</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Résultat visé avec échéance et méthode de mesure.</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Obtenir une preuve commerciale forte avant le jour 30. »</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La traction est assurée. »</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Décision</w:t>
            </w:r>
          </w:p>
        </w:tc>
        <w:tc>
          <w:tcPr>
            <w:tcW w:type="dxa" w:w="232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Choix formalisé par une personne habilitée.</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 Le comité autorise la phase 2 sous trois conditions. »</w:t>
            </w:r>
          </w:p>
        </w:tc>
        <w:tc>
          <w:tcPr>
            <w:tcW w:type="dxa" w:w="277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 L’équipe pense que l’on peut continuer. »</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Source externe</w:t>
            </w:r>
          </w:p>
        </w:tc>
        <w:tc>
          <w:tcPr>
            <w:tcW w:type="dxa" w:w="232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Donnée publiée avec titre, organisme, date et lien.</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Source : OIT, publication consultée en juillet 2026. »</w:t>
            </w:r>
          </w:p>
        </w:tc>
        <w:tc>
          <w:tcPr>
            <w:tcW w:type="dxa" w:w="277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 Selon des études, l’informel est très important. »</w:t>
            </w:r>
          </w:p>
        </w:tc>
      </w:tr>
    </w:tbl>
    <w:p>
      <w:pPr>
        <w:spacing w:after="40"/>
      </w:pPr>
    </w:p>
    <w:p>
      <w:pPr>
        <w:pStyle w:val="Heading1"/>
        <w:keepNext/>
        <w:pageBreakBefore w:val="0"/>
      </w:pPr>
      <w:r>
        <w:t>5. Gouvernance documentaire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Rôle</w:t>
            </w:r>
          </w:p>
        </w:tc>
        <w:tc>
          <w:tcPr>
            <w:tcW w:type="dxa" w:w="481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Responsabilité</w:t>
            </w:r>
          </w:p>
        </w:tc>
        <w:tc>
          <w:tcPr>
            <w:tcW w:type="dxa" w:w="272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Droit de validation</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Direction du projet</w:t>
            </w:r>
          </w:p>
        </w:tc>
        <w:tc>
          <w:tcPr>
            <w:tcW w:type="dxa" w:w="481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Décisions stratégiques, identité juridique, financement et engagements externes.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Validation finale des documents externes.</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 opérations</w:t>
            </w:r>
          </w:p>
        </w:tc>
        <w:tc>
          <w:tcPr>
            <w:tcW w:type="dxa" w:w="481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Volumes, qualité, sécurité terrain, SOP et performance.</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Validation des procédures et registres.</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Responsable données</w:t>
            </w:r>
          </w:p>
        </w:tc>
        <w:tc>
          <w:tcPr>
            <w:tcW w:type="dxa" w:w="481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Consentement, accès, conservation, retrait et incidents.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Blocage immédiat de tout partage non conforme.</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Finance</w:t>
            </w:r>
          </w:p>
        </w:tc>
        <w:tc>
          <w:tcPr>
            <w:tcW w:type="dxa" w:w="481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Budget, justificatifs, trésorerie, encaissements et hypothèses.</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Validation des chiffres et des scénarios.</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Partenariats</w:t>
            </w:r>
          </w:p>
        </w:tc>
        <w:tc>
          <w:tcPr>
            <w:tcW w:type="dxa" w:w="481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Qualification, offre, prix, pipeline et preuves commerciales.</w:t>
            </w:r>
          </w:p>
        </w:tc>
        <w:tc>
          <w:tcPr>
            <w:tcW w:type="dxa" w:w="272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Validation des communications commerciales.</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Conseil juridique sénégalais</w:t>
            </w:r>
          </w:p>
        </w:tc>
        <w:tc>
          <w:tcPr>
            <w:tcW w:type="dxa" w:w="481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Structure, contrats, données personnelles et obligations réglementaires.</w:t>
            </w:r>
          </w:p>
        </w:tc>
        <w:tc>
          <w:tcPr>
            <w:tcW w:type="dxa" w:w="272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Avis requis avant mise en production ou collecte sensible.</w:t>
            </w:r>
          </w:p>
        </w:tc>
      </w:tr>
    </w:tbl>
    <w:p>
      <w:pPr>
        <w:spacing w:after="40"/>
      </w:pPr>
    </w:p>
    <w:p>
      <w:pPr>
        <w:pStyle w:val="ListBullet"/>
      </w:pPr>
      <w:r>
        <w:t>Chaque fichier externe porte un numéro de version, une date, un statut et une audience.</w:t>
      </w:r>
    </w:p>
    <w:p>
      <w:pPr>
        <w:pStyle w:val="ListBullet"/>
      </w:pPr>
      <w:r>
        <w:t>Les changements financiers sont répercutés simultanément dans le business plan, le modèle financier et la présentation.</w:t>
      </w:r>
    </w:p>
    <w:p>
      <w:pPr>
        <w:pStyle w:val="ListBullet"/>
      </w:pPr>
      <w:r>
        <w:t>Les données personnelles réelles ne sont jamais placées dans la data room de démonstration.</w:t>
      </w:r>
    </w:p>
    <w:p>
      <w:pPr>
        <w:pStyle w:val="ListBullet"/>
      </w:pPr>
      <w:r>
        <w:t>Les accès sont individuels, limités au besoin et révoqués à la fin de la diligence.</w:t>
      </w:r>
    </w:p>
    <w:p>
      <w:pPr>
        <w:pStyle w:val="Heading1"/>
        <w:keepNext/>
        <w:pageBreakBefore w:val="0"/>
      </w:pPr>
      <w:r>
        <w:t>6. Matrice de validation avant diffusion</w:t>
      </w:r>
    </w:p>
    <w:tbl>
      <w:tblPr>
        <w:tblW w:type="auto" w:w="0"/>
        <w:jc w:val="center"/>
        <w:tblLayout w:type="fixed"/>
        <w:tblLook w:firstColumn="1" w:firstRow="1" w:lastColumn="0" w:lastRow="0" w:noHBand="0" w:noVBand="1" w:val="04A0"/>
      </w:tblPr>
      <w:tblGrid>
        <w:gridCol w:w="1911"/>
        <w:gridCol w:w="1911"/>
        <w:gridCol w:w="1911"/>
        <w:gridCol w:w="1911"/>
        <w:gridCol w:w="1911"/>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Point</w:t>
            </w:r>
          </w:p>
        </w:tc>
        <w:tc>
          <w:tcPr>
            <w:tcW w:type="dxa" w:w="147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Statut</w:t>
            </w:r>
          </w:p>
        </w:tc>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Propriétaire</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Preuve de clôture</w:t>
            </w:r>
          </w:p>
        </w:tc>
        <w:tc>
          <w:tcPr>
            <w:tcW w:type="dxa" w:w="153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Effet</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Identité légale du porteur</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À compléter</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Direction</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Documents d’immatriculation, adresse, représentant habilité</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Bloquant</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Politique et formalités données</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À faire valider</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Responsable données + conseil</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Politique signée, registre, avis sur formalités CDP</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Bloquant avant collecte réelle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Budget pilote</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Consolidé</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Finance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Budget 2 161 500 FCFA et marge conditionnelle 338 500 FCFA</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Validé sous réserve de pièces</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Prévision 36 mois</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Modèle de travail</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Finance + direction</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Hypothèses approuvées et trois scénarios</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À valider</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Contacts partenaires</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Non validés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Partenariats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Nom, fonction, email officiel et historique de contact</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Bloquant avant envoi nominatif</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Traction</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Aucune donnée historique fournie</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Direction</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Paiement, contrat, bon ou LOI forte</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Critère de poursuite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Sécurité terrain</w:t>
            </w:r>
          </w:p>
        </w:tc>
        <w:tc>
          <w:tcPr>
            <w:tcW w:type="dxa" w:w="147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Procédure créée</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Opérations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Brief, contacts d’urgence, journal d’incident</w:t>
            </w:r>
          </w:p>
        </w:tc>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À tester</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Propriété intellectuelle</w:t>
            </w:r>
          </w:p>
        </w:tc>
        <w:tc>
          <w:tcPr>
            <w:tcW w:type="dxa" w:w="147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À confirmer</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Direction + conseil</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Titularité du nom, logo, code et contenus</w:t>
            </w:r>
          </w:p>
        </w:tc>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À fermer</w:t>
            </w:r>
          </w:p>
        </w:tc>
      </w:tr>
    </w:tbl>
    <w:p>
      <w:pPr>
        <w:spacing w:after="40"/>
      </w:pPr>
    </w:p>
    <w:p>
      <w:pPr>
        <w:pStyle w:val="Heading1"/>
        <w:keepNext/>
        <w:pageBreakBefore w:val="0"/>
      </w:pPr>
      <w:r>
        <w:t>7. Mapping du pack reconstruit vers le pack consolidé</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26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Source initiale</w:t>
            </w:r>
          </w:p>
        </w:tc>
        <w:tc>
          <w:tcPr>
            <w:tcW w:type="dxa" w:w="170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Destination consolidée</w:t>
            </w:r>
          </w:p>
        </w:tc>
        <w:tc>
          <w:tcPr>
            <w:tcW w:type="dxa" w:w="538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Traitement</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Dossier maître</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00, 01 et 15</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Décisions séparées des hypothèses; architecture et validation ajoutées.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Business plan</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01, 02 et 11</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Marché, équipe, stratégie et financement approfondis; coûts incomplets corrigés.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Plan d’action</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03, 04, 08 et 13</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Transformé en segmentation, SOP, GTM et tableaux de bord.</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Accès et consentement</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06 et 10</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Politique, contrats, formulaires, conservation et incident ajoutés.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Exécution 7 jours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04, 05, 12 et 13</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Intégrée aux procédures, checklists et registres.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Scénario financier</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02 et 11</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Projection mensuelle 36 mois et besoin de financement réaliste ajoutés.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Prospection partenaires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08 et 09</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Pipeline, offre, ROI, scripts et LOI structurés.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Brief terrain</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04 et 05</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Procédures détaillées, sécurité, QA et cas pratiques ajoutés.</w:t>
            </w:r>
          </w:p>
        </w:tc>
      </w:tr>
      <w:tr>
        <w:trPr>
          <w:cantSplit/>
        </w:trPr>
        <w:tc>
          <w:tcPr>
            <w:tcW w:type="dxa" w:w="226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Trois classeurs</w:t>
            </w:r>
          </w:p>
        </w:tc>
        <w:tc>
          <w:tcPr>
            <w:tcW w:type="dxa" w:w="170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11, 12 et 13</w:t>
            </w:r>
          </w:p>
        </w:tc>
        <w:tc>
          <w:tcPr>
            <w:tcW w:type="dxa" w:w="538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Modèle financier, opérations et KPI reconstruits.</w:t>
            </w:r>
          </w:p>
        </w:tc>
      </w:tr>
      <w:tr>
        <w:trPr>
          <w:cantSplit/>
        </w:trPr>
        <w:tc>
          <w:tcPr>
            <w:tcW w:type="dxa" w:w="226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Manifeste</w:t>
            </w:r>
          </w:p>
        </w:tc>
        <w:tc>
          <w:tcPr>
            <w:tcW w:type="dxa" w:w="170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15</w:t>
            </w:r>
          </w:p>
        </w:tc>
        <w:tc>
          <w:tcPr>
            <w:tcW w:type="dxa" w:w="538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Registre vivant des hypothèses, lacunes, décisions et versions.</w:t>
            </w:r>
          </w:p>
        </w:tc>
      </w:tr>
    </w:tbl>
    <w:p>
      <w:pPr>
        <w:spacing w:after="40"/>
      </w:pPr>
    </w:p>
    <w:p>
      <w:pPr>
        <w:pStyle w:val="Heading1"/>
        <w:keepNext/>
        <w:pageBreakBefore w:val="0"/>
      </w:pPr>
      <w:r>
        <w:t>8. Portes de décision</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113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Moment</w:t>
            </w:r>
          </w:p>
        </w:tc>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Question</w:t>
            </w:r>
          </w:p>
        </w:tc>
        <w:tc>
          <w:tcPr>
            <w:tcW w:type="dxa" w:w="294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Poursuivre si</w:t>
            </w:r>
          </w:p>
        </w:tc>
        <w:tc>
          <w:tcPr>
            <w:tcW w:type="dxa" w:w="289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Suspendre ou corriger si</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 0</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Peut-on démarrer légalement et opérationnellement?</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Responsables nommés, consentement validé, zones sûres, budget autorisé.</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Identité juridique, sécurité ou formalités données non maîtrisées.</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Jour 7</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Le processus produit-il des dossiers propres?</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Consentement compris, QA sous 24 h, cadence réaliste, aucun incident critique.</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Données interdites, dossiers inutilisables ou conflit terrain récurrent.</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Jour 15</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Les partenaires comprennent-ils la valeur?</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Besoins écrits, segmentation claire, exemples jugés utiles.</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Intérêt vague, aucun décideur ou demande de données excessives.</w:t>
            </w:r>
          </w:p>
        </w:tc>
      </w:tr>
      <w:tr>
        <w:trPr>
          <w:cantSplit/>
        </w:trPr>
        <w:tc>
          <w:tcPr>
            <w:tcW w:type="dxa" w:w="113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Jour 30</w:t>
            </w:r>
          </w:p>
        </w:tc>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Le modèle mérite-t-il une phase 2?</w:t>
            </w:r>
          </w:p>
        </w:tc>
        <w:tc>
          <w:tcPr>
            <w:tcW w:type="dxa" w:w="294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Qualité, coût documenté et au moins une preuve commerciale forte.</w:t>
            </w:r>
          </w:p>
        </w:tc>
        <w:tc>
          <w:tcPr>
            <w:tcW w:type="dxa" w:w="289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Aucune traction vérifiable, coût incontrôlé ou sécurité insuffisante.</w:t>
            </w:r>
          </w:p>
        </w:tc>
      </w:tr>
      <w:tr>
        <w:trPr>
          <w:cantSplit/>
        </w:trPr>
        <w:tc>
          <w:tcPr>
            <w:tcW w:type="dxa" w:w="113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Mois 6</w:t>
            </w:r>
          </w:p>
        </w:tc>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Faut-il financer l’industrialisation?</w:t>
            </w:r>
          </w:p>
        </w:tc>
        <w:tc>
          <w:tcPr>
            <w:tcW w:type="dxa" w:w="294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Revenus encaissés, récurrence, rétention et processus réplicable.</w:t>
            </w:r>
          </w:p>
        </w:tc>
        <w:tc>
          <w:tcPr>
            <w:tcW w:type="dxa" w:w="289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Dépendance aux subventions sans demande payante.</w:t>
            </w:r>
          </w:p>
        </w:tc>
      </w:tr>
    </w:tbl>
    <w:p>
      <w:pPr>
        <w:spacing w:after="40"/>
      </w:pPr>
    </w:p>
    <w:p>
      <w:pPr>
        <w:pStyle w:val="Heading1"/>
        <w:keepNext/>
        <w:pageBreakBefore w:val="0"/>
      </w:pPr>
      <w:r>
        <w:t>9. Sources de référence</w:t>
      </w:r>
    </w:p>
    <w:p>
      <w:pPr>
        <w:pStyle w:val="Sourcenote"/>
      </w:pPr>
      <w:r>
        <w:t>Pack Dëggal reconstruit, version du 12 juillet 2026 - source interne.</w:t>
      </w:r>
    </w:p>
    <w:p>
      <w:pPr>
        <w:pStyle w:val="Sourcenote"/>
      </w:pPr>
      <w:r>
        <w:t>OIT - économie informelle: https://www.ilo.org/topics-and-sectors/informal-economy</w:t>
      </w:r>
    </w:p>
    <w:p>
      <w:pPr>
        <w:pStyle w:val="Sourcenote"/>
      </w:pPr>
      <w:r>
        <w:t>Banque mondiale - Global Findex 2021: https://www.worldbank.org/en/publication/globalfindex</w:t>
      </w:r>
    </w:p>
    <w:p>
      <w:pPr>
        <w:pStyle w:val="Sourcenote"/>
      </w:pPr>
      <w:r>
        <w:t>GSMA - State of the Industry Report on Mobile Money: https://www.gsma.com/sotir/</w:t>
      </w:r>
    </w:p>
    <w:p>
      <w:pPr>
        <w:pStyle w:val="Sourcenote"/>
      </w:pPr>
      <w:r>
        <w:t>BCEAO - publications sur l’inclusion financière dans l’UEMOA: https://www.bceao.int/</w:t>
      </w:r>
    </w:p>
    <w:p>
      <w:pPr>
        <w:pStyle w:val="Sourcenote"/>
      </w:pPr>
      <w:r>
        <w:t>ANSD Sénégal - statistiques et enquêtes nationales: https://www.ansd.sn/</w:t>
      </w:r>
    </w:p>
    <w:p>
      <w:pPr>
        <w:pStyle w:val="Sourcenote"/>
      </w:pPr>
      <w:r>
        <w:t>Commission de protection des données personnelles du Sénégal: https://www.cdp.sn/</w:t>
      </w:r>
    </w:p>
    <w:p>
      <w:pPr>
        <w:pStyle w:val="Sourcenote"/>
      </w:pPr>
      <w:r>
        <w:t>OHADA - actes uniformes applicables aux sociétés et aux contrats commerciaux: https://www.ohada.org/</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Limite juridique</w:t>
            </w:r>
          </w:p>
          <w:p>
            <w:pPr>
              <w:pStyle w:val="Callouttext"/>
            </w:pPr>
            <w:r>
              <w:t>Ce dossier n’est pas un avis juridique. Les modèles doivent être adaptés par un conseil qualifié au Sénégal, notamment pour la structure de l’entité, les formalités auprès de la CDP, les contrats et la fiscalité.</w:t>
            </w:r>
          </w:p>
        </w:tc>
      </w:tr>
    </w:tbl>
    <w:p>
      <w:pPr>
        <w:spacing w:after="20" w:before="0"/>
      </w:pPr>
    </w:p>
    <w:p>
      <w:pPr>
        <w:pStyle w:val="Heading1"/>
      </w:pPr>
      <w:r>
        <w:t>Vocabulaire de la plateforme</w:t>
      </w:r>
    </w:p>
    <w:p>
      <w:pPr/>
      <w:r>
        <w:t>Ces termes sont utilisés de la même manière dans les documents, le site et la plateforme.</w:t>
      </w:r>
    </w:p>
    <w:tbl>
      <w:tblPr>
        <w:tblStyle w:val="TableGrid"/>
        <w:tblW w:type="auto" w:w="0"/>
        <w:tblLook w:firstColumn="1" w:firstRow="1" w:lastColumn="0" w:lastRow="0" w:noHBand="0" w:noVBand="1" w:val="04A0"/>
      </w:tblPr>
      <w:tblGrid>
        <w:gridCol w:w="4776"/>
        <w:gridCol w:w="4776"/>
      </w:tblGrid>
      <w:tr>
        <w:tc>
          <w:tcPr>
            <w:tcW w:type="dxa" w:w="4776"/>
            <w:shd w:fill="0B3A2D"/>
          </w:tcPr>
          <w:p>
            <w:r>
              <w:rPr>
                <w:b/>
                <w:color w:val="FFFFFF"/>
              </w:rPr>
              <w:t>Terme</w:t>
            </w:r>
          </w:p>
        </w:tc>
        <w:tc>
          <w:tcPr>
            <w:tcW w:type="dxa" w:w="4776"/>
            <w:shd w:fill="0B3A2D"/>
          </w:tcPr>
          <w:p>
            <w:r>
              <w:rPr>
                <w:b/>
                <w:color w:val="FFFFFF"/>
              </w:rPr>
              <w:t>Définition retenue</w:t>
            </w:r>
          </w:p>
        </w:tc>
      </w:tr>
      <w:tr>
        <w:tc>
          <w:tcPr>
            <w:tcW w:type="dxa" w:w="4776"/>
          </w:tcPr>
          <w:p>
            <w:r>
              <w:t>Commerçant</w:t>
            </w:r>
          </w:p>
        </w:tc>
        <w:tc>
          <w:tcPr>
            <w:tcW w:type="dxa" w:w="4776"/>
          </w:tcPr>
          <w:p>
            <w:r>
              <w:t>La personne et son compte utilisateur. Le commerçant contrôle les autorisations liées à ses données.</w:t>
            </w:r>
          </w:p>
        </w:tc>
      </w:tr>
      <w:tr>
        <w:tc>
          <w:tcPr>
            <w:tcW w:type="dxa" w:w="4776"/>
          </w:tcPr>
          <w:p>
            <w:r>
              <w:t>Commerce</w:t>
            </w:r>
          </w:p>
        </w:tc>
        <w:tc>
          <w:tcPr>
            <w:tcW w:type="dxa" w:w="4776"/>
          </w:tcPr>
          <w:p>
            <w:r>
              <w:t>L’établissement, l’activité et le dossier opérationnel auquel sont rattachés les preuves, visites et cartes QR.</w:t>
            </w:r>
          </w:p>
        </w:tc>
      </w:tr>
      <w:tr>
        <w:tc>
          <w:tcPr>
            <w:tcW w:type="dxa" w:w="4776"/>
          </w:tcPr>
          <w:p>
            <w:r>
              <w:t>Partenaire</w:t>
            </w:r>
          </w:p>
        </w:tc>
        <w:tc>
          <w:tcPr>
            <w:tcW w:type="dxa" w:w="4776"/>
          </w:tcPr>
          <w:p>
            <w:r>
              <w:t>L’organisation autorisée à demander puis consulter uniquement les informations approuvées pour une finalité et une durée définies.</w:t>
            </w:r>
          </w:p>
        </w:tc>
      </w:tr>
    </w:tbl>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Guide de la data room - édition consolidée</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